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B83DD" w14:textId="0BC42A36" w:rsidR="005165D9" w:rsidRPr="009004A5" w:rsidRDefault="005165D9" w:rsidP="009004A5">
      <w:pPr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 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>파워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>업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>게임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4"/>
          <w:szCs w:val="24"/>
          <w:lang w:eastAsia="ko-KR"/>
        </w:rPr>
        <w:t>액세서리</w:t>
      </w:r>
    </w:p>
    <w:p w14:paraId="0A4E7D12" w14:textId="590E3768" w:rsidR="005165D9" w:rsidRPr="009004A5" w:rsidRDefault="005165D9" w:rsidP="009004A5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글로벌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제조업체인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TPE(</w:t>
      </w:r>
      <w:r w:rsidR="00B859B0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크라이버그</w:t>
      </w:r>
      <w:r w:rsidR="00B859B0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티피이</w:t>
      </w:r>
      <w:r w:rsidR="00B859B0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)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는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액세서리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소재로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적합한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부드러운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촉감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높은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내구성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성을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제공하는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K </w:t>
      </w:r>
      <w:r w:rsidR="009E49A7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35844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제공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합니다</w:t>
      </w:r>
      <w:r w:rsidR="003D66D9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0020CF78" w14:textId="11706E12" w:rsidR="005165D9" w:rsidRPr="009004A5" w:rsidRDefault="005165D9" w:rsidP="009004A5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사회적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거리두기는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우리가</w:t>
      </w:r>
      <w:r w:rsidR="003D66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일의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측면을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변화시켰으며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여러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활동</w:t>
      </w:r>
      <w:r w:rsidR="003D66D9" w:rsidRPr="009004A5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대면에서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온라인으로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바뀌었습니다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사람들이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실내에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머무르고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항상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일과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여가의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균형을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찾으면서</w:t>
      </w:r>
      <w:r w:rsidR="003D66D9" w:rsidRPr="009004A5">
        <w:rPr>
          <w:rFonts w:ascii="Arial" w:eastAsia="NanumGothic" w:hAnsi="Arial" w:cs="Arial"/>
          <w:sz w:val="20"/>
          <w:szCs w:val="20"/>
          <w:lang w:eastAsia="ko-KR"/>
        </w:rPr>
        <w:t>부터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연령대가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사람들</w:t>
      </w:r>
      <w:r w:rsidR="003D66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3D66D9" w:rsidRPr="009004A5">
        <w:rPr>
          <w:rFonts w:ascii="Arial" w:eastAsia="NanumGothic" w:hAnsi="Arial" w:cs="Arial"/>
          <w:sz w:val="20"/>
          <w:szCs w:val="20"/>
          <w:lang w:eastAsia="ko-KR"/>
        </w:rPr>
        <w:t>사이에서도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더욱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인기를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얻고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5C3DD5A" w14:textId="7529CFD4" w:rsidR="005165D9" w:rsidRPr="009004A5" w:rsidRDefault="003D66D9" w:rsidP="009004A5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연구에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따르면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예전에는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안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좋은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평판을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받았던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것과는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달리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게임이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정신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건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강에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이점이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것으로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확인되었습니다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스트레스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해소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건강한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정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신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자극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손재주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문제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해결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향상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게임은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분야의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물리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심리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치료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프로그램에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="005165D9"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60F865C" w14:textId="6880193B" w:rsidR="005165D9" w:rsidRPr="009004A5" w:rsidRDefault="005165D9" w:rsidP="009004A5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5G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네트워킹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클라우드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플랫폼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인공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지능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(AI),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증강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현실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(AR)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가상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현실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(VR)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기반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앱과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발전과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함께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진화하여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몰입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형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51AB1" w:rsidRPr="009004A5">
        <w:rPr>
          <w:rFonts w:ascii="Arial" w:eastAsia="NanumGothic" w:hAnsi="Arial" w:cs="Arial"/>
          <w:sz w:val="20"/>
          <w:szCs w:val="20"/>
          <w:lang w:eastAsia="ko-KR"/>
        </w:rPr>
        <w:t>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험을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패드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키보드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컨트롤러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조이스틱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헤드셋과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정교한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주변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장치는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속도와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정확성에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지속적으로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개발되고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F86E28E" w14:textId="70FC54F4" w:rsidR="00EA6B8F" w:rsidRPr="009004A5" w:rsidRDefault="005165D9" w:rsidP="009004A5">
      <w:pPr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액세서리에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충족하고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원하는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성능을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보장하는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THERMOLAST® K VS/A/HM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For Tec E® AD/PAX/CR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시리즈를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34FEB5B" w14:textId="77777777" w:rsidR="00B859B0" w:rsidRPr="009004A5" w:rsidRDefault="00B859B0" w:rsidP="009004A5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4AE4E16" w14:textId="322D5C3D" w:rsidR="00EA6B8F" w:rsidRPr="009004A5" w:rsidRDefault="00017247" w:rsidP="009004A5">
      <w:pPr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미끄럼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방지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오일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프리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그립</w:t>
      </w:r>
    </w:p>
    <w:p w14:paraId="0CE8081D" w14:textId="77777777" w:rsidR="00B859B0" w:rsidRPr="009004A5" w:rsidRDefault="00B859B0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0721412" w14:textId="36B24E8E" w:rsidR="00017247" w:rsidRPr="009004A5" w:rsidRDefault="00B859B0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004A5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Pr="009004A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THERMOLAST® K VS/AD/HM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게임용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헤드셋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컨트롤러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조이스틱과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액세서리의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플리케이션으로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lastRenderedPageBreak/>
        <w:t>널리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알려져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유분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차단제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E3863" w:rsidRPr="009004A5">
        <w:rPr>
          <w:rFonts w:ascii="Arial" w:eastAsia="NanumGothic" w:hAnsi="Arial" w:cs="Arial"/>
          <w:sz w:val="20"/>
          <w:szCs w:val="20"/>
          <w:lang w:eastAsia="ko-KR"/>
        </w:rPr>
        <w:t>그리스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내성을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="001E3863" w:rsidRPr="009004A5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99519A4" w14:textId="77777777" w:rsidR="001E3863" w:rsidRPr="009004A5" w:rsidRDefault="001E3863" w:rsidP="00017247">
      <w:pPr>
        <w:spacing w:after="0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378B87A" w14:textId="776AD25B" w:rsidR="00017247" w:rsidRPr="009004A5" w:rsidRDefault="001E3863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범위는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촉감과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벨벳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느낌을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허용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,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동시에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썸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휠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버튼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콘솔의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스위치와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플리케이션에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요구되는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내마모성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긁힘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충족하여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게이머가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몇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시간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동안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편안하게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플레이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즐길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5CBDD69" w14:textId="1B1EDC5E" w:rsidR="001E3863" w:rsidRPr="009004A5" w:rsidRDefault="001E3863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949F42B" w14:textId="7913CB5D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PA6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PA12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PC, ABS, PC/ABS, ASA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SAN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극성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수지에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접착력이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개발에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B3CD898" w14:textId="0192B56D" w:rsidR="00C1393B" w:rsidRPr="009004A5" w:rsidRDefault="00C1393B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528DE69" w14:textId="256689FB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(KRAIBURG TPE)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개발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함량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>관련</w:t>
      </w:r>
      <w:r w:rsidR="00B859B0" w:rsidRPr="009004A5">
        <w:rPr>
          <w:rFonts w:ascii="Arial" w:eastAsia="NanumGothic" w:hAnsi="Arial" w:cs="Arial"/>
          <w:sz w:val="20"/>
          <w:szCs w:val="20"/>
          <w:lang w:eastAsia="ko-KR"/>
        </w:rPr>
        <w:t>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장치에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WEEE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지침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충족하도록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주의를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기울였습니다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2660C53" w14:textId="77777777" w:rsidR="00B859B0" w:rsidRPr="009004A5" w:rsidRDefault="00B859B0" w:rsidP="009004A5">
      <w:pPr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BE960EC" w14:textId="556A9FCF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우수한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접착력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에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따른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높은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내구성</w:t>
      </w:r>
    </w:p>
    <w:p w14:paraId="24EE0C2C" w14:textId="4F250806" w:rsidR="00C1393B" w:rsidRPr="009004A5" w:rsidRDefault="00C1393B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3382475" w14:textId="634DD0D0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유형의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대처하기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비디오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개발자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디자이너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맞는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재료를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지속적으로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1393B" w:rsidRPr="009004A5">
        <w:rPr>
          <w:rFonts w:ascii="Arial" w:eastAsia="NanumGothic" w:hAnsi="Arial" w:cs="Arial"/>
          <w:sz w:val="20"/>
          <w:szCs w:val="20"/>
          <w:lang w:eastAsia="ko-KR"/>
        </w:rPr>
        <w:t>물색하고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BDB9DE8" w14:textId="1480E9F2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3459B6E" w14:textId="3C3E82B4" w:rsidR="00017247" w:rsidRPr="009004A5" w:rsidRDefault="00B859B0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004A5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Pr="009004A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For Tec E® AD/PAX/ CR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게임용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키보드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콘솔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하우징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디스플레이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화면과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액세서리용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재료로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068B61B" w14:textId="3770B6CA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C1F2046" w14:textId="10A74831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For Tec E® AD/PAX/CR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피부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유분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자외선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차단제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올리브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오일에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내성이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콘솔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액세서리에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적용하기에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125D793" w14:textId="3B2B8E31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353AB4D" w14:textId="11039E81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이점은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50 %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유리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섬유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, PA12,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부분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방향족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폴리아미드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(PAX)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폴리아크릴아미드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(PARA)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PA6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PA6.6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접착력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우수합니다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41937934" w14:textId="4EF211C0" w:rsidR="00B859B0" w:rsidRPr="009004A5" w:rsidRDefault="00B859B0" w:rsidP="00017247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FB66DE1" w14:textId="77777777" w:rsidR="00B859B0" w:rsidRPr="009004A5" w:rsidRDefault="00B859B0" w:rsidP="00017247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BDF722D" w14:textId="519DA485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다양한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채색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불연성</w:t>
      </w:r>
    </w:p>
    <w:p w14:paraId="22BFB661" w14:textId="39994059" w:rsidR="004E61BE" w:rsidRPr="009004A5" w:rsidRDefault="004E61BE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62C13F2" w14:textId="2627C24D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요구되는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것처럼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,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게임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부품의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특징을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식별하는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채색이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필수적입니다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340B333" w14:textId="77777777" w:rsidR="009004A5" w:rsidRPr="009004A5" w:rsidRDefault="009004A5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405FE77" w14:textId="66C80A51" w:rsidR="00017247" w:rsidRPr="009004A5" w:rsidRDefault="00B859B0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9004A5">
        <w:rPr>
          <w:rFonts w:ascii="Arial" w:eastAsia="NanumGothic" w:hAnsi="Arial" w:cs="Arial"/>
          <w:sz w:val="20"/>
          <w:szCs w:val="20"/>
          <w:lang w:eastAsia="ko-KR"/>
        </w:rPr>
        <w:t>TPE(</w:t>
      </w:r>
      <w:proofErr w:type="gramEnd"/>
      <w:r w:rsidRPr="009004A5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THERMOLAST® K VS/AD/HM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For Tec E® AD/PAX/CR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계열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E49A7" w:rsidRPr="009004A5">
        <w:rPr>
          <w:rFonts w:ascii="Arial" w:eastAsia="NanumGothic" w:hAnsi="Arial" w:cs="Arial"/>
          <w:sz w:val="20"/>
          <w:szCs w:val="20"/>
          <w:lang w:eastAsia="ko-KR"/>
        </w:rPr>
        <w:t>내추럴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E61BE" w:rsidRPr="009004A5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검정색으로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제공되며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제조업체의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색상을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지정할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수도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017247"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4FFBCA5" w14:textId="28E3EBA7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UL 94 HB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가연성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통과하여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/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응용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화재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위험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감소를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B59F072" w14:textId="77777777" w:rsidR="00B859B0" w:rsidRPr="009004A5" w:rsidRDefault="00B859B0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4E5E848A" w14:textId="4BC679C8" w:rsidR="00B859B0" w:rsidRPr="009004A5" w:rsidRDefault="009004A5" w:rsidP="009004A5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drawing>
          <wp:inline distT="0" distB="0" distL="0" distR="0" wp14:anchorId="6A08EF8C" wp14:editId="4AEBCE52">
            <wp:extent cx="4381500" cy="24271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389" cy="2430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ACA6B" w14:textId="7F612F3F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(</w:t>
      </w:r>
      <w:proofErr w:type="gramStart"/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사진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:</w:t>
      </w:r>
      <w:proofErr w:type="gramEnd"/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© 2021 KRAIBURG TPE)</w:t>
      </w:r>
    </w:p>
    <w:p w14:paraId="39040C24" w14:textId="77777777" w:rsidR="00017247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6B528D6E" w:rsidR="00EC7126" w:rsidRPr="009004A5" w:rsidRDefault="00017247" w:rsidP="009004A5">
      <w:pPr>
        <w:spacing w:after="0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4A286DB" w14:textId="77777777" w:rsidR="00A20F10" w:rsidRPr="005165D9" w:rsidRDefault="00A20F10" w:rsidP="005165D9">
      <w:pPr>
        <w:spacing w:after="0"/>
        <w:ind w:right="1163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</w:p>
    <w:p w14:paraId="120B2DA4" w14:textId="77777777" w:rsidR="00EA6B8F" w:rsidRPr="005165D9" w:rsidRDefault="00EA6B8F" w:rsidP="005165D9">
      <w:pP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165D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br w:type="page"/>
      </w:r>
    </w:p>
    <w:p w14:paraId="79AC0DBD" w14:textId="2F553208" w:rsidR="00B859B0" w:rsidRPr="009004A5" w:rsidRDefault="00B859B0" w:rsidP="005165D9">
      <w:pPr>
        <w:spacing w:after="0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해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주십시오</w:t>
      </w:r>
      <w:r w:rsidRPr="009004A5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9004A5" w:rsidRDefault="005320D5" w:rsidP="005165D9">
      <w:pPr>
        <w:spacing w:after="0"/>
        <w:ind w:right="1699"/>
        <w:jc w:val="both"/>
        <w:rPr>
          <w:rFonts w:ascii="Arial" w:eastAsia="NanumGothic" w:hAnsi="Arial" w:cs="Arial"/>
          <w:b/>
          <w:sz w:val="20"/>
          <w:szCs w:val="20"/>
        </w:rPr>
      </w:pPr>
      <w:r w:rsidRPr="009004A5">
        <w:rPr>
          <w:rFonts w:ascii="Arial" w:eastAsia="NanumGothic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9004A5" w:rsidRDefault="00D201C4" w:rsidP="005165D9">
      <w:pPr>
        <w:rPr>
          <w:rFonts w:ascii="Arial" w:eastAsia="NanumGothic" w:hAnsi="Arial" w:cs="Arial"/>
          <w:b/>
          <w:sz w:val="20"/>
          <w:szCs w:val="20"/>
        </w:rPr>
      </w:pPr>
    </w:p>
    <w:p w14:paraId="686CC5D7" w14:textId="77777777" w:rsidR="009004A5" w:rsidRPr="009004A5" w:rsidRDefault="009004A5" w:rsidP="009004A5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9004A5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9004A5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9004A5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Pr="009004A5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9004A5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3FD5B9B8" w14:textId="0280B38F" w:rsidR="00B859B0" w:rsidRPr="009004A5" w:rsidRDefault="009004A5" w:rsidP="009004A5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004A5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004A5">
        <w:rPr>
          <w:rFonts w:ascii="Arial" w:eastAsia="NanumGothic" w:hAnsi="Arial" w:cs="Arial"/>
          <w:bCs/>
          <w:sz w:val="20"/>
          <w:lang w:eastAsia="ko-KR"/>
        </w:rPr>
        <w:t>)</w:t>
      </w:r>
      <w:r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eastAsia="ko-KR"/>
        </w:rPr>
        <w:t>(</w:t>
      </w:r>
      <w:hyperlink r:id="rId10" w:history="1">
        <w:r w:rsidRPr="009004A5">
          <w:rPr>
            <w:rStyle w:val="Hyperlink"/>
            <w:rFonts w:ascii="Arial" w:eastAsia="NanumGothic" w:hAnsi="Arial" w:cs="Arial"/>
            <w:bCs/>
            <w:color w:val="auto"/>
            <w:sz w:val="20"/>
            <w:lang w:eastAsia="ko-KR"/>
          </w:rPr>
          <w:t>www.kraiburg-tpe.com</w:t>
        </w:r>
      </w:hyperlink>
      <w:r w:rsidRPr="009004A5">
        <w:rPr>
          <w:rFonts w:ascii="Arial" w:eastAsia="NanumGothic" w:hAnsi="Arial" w:cs="Arial"/>
          <w:bCs/>
          <w:sz w:val="20"/>
          <w:lang w:eastAsia="ko-KR"/>
        </w:rPr>
        <w:t>)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>. 1947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9004A5">
        <w:rPr>
          <w:rFonts w:ascii="Arial" w:eastAsia="NanumGothic" w:hAnsi="Arial" w:cs="Arial"/>
          <w:bCs/>
          <w:sz w:val="20"/>
          <w:lang w:val="en-GB" w:eastAsia="ko-KR"/>
        </w:rPr>
        <w:t>TPE(</w:t>
      </w:r>
      <w:proofErr w:type="gramEnd"/>
      <w:r w:rsidRPr="009004A5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9004A5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004A5">
        <w:rPr>
          <w:rFonts w:ascii="Arial" w:eastAsia="NanumGothic" w:hAnsi="Arial" w:cs="Arial"/>
          <w:bCs/>
          <w:sz w:val="20"/>
          <w:lang w:eastAsia="ko-KR"/>
        </w:rPr>
        <w:t>)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9004A5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004A5">
        <w:rPr>
          <w:rFonts w:ascii="Arial" w:eastAsia="NanumGothic" w:hAnsi="Arial" w:cs="Arial"/>
          <w:bCs/>
          <w:sz w:val="20"/>
          <w:lang w:eastAsia="ko-KR"/>
        </w:rPr>
        <w:t>, COPEC</w:t>
      </w:r>
      <w:r w:rsidRPr="009004A5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004A5">
        <w:rPr>
          <w:rFonts w:ascii="Arial" w:eastAsia="NanumGothic" w:hAnsi="Arial" w:cs="Arial"/>
          <w:bCs/>
          <w:sz w:val="20"/>
          <w:lang w:eastAsia="ko-KR"/>
        </w:rPr>
        <w:t>, HIPEX</w:t>
      </w:r>
      <w:r w:rsidRPr="009004A5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9004A5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9004A5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9004A5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004A5">
        <w:rPr>
          <w:rFonts w:ascii="Arial" w:eastAsia="NanumGothic" w:hAnsi="Arial" w:cs="Arial"/>
          <w:bCs/>
          <w:sz w:val="20"/>
          <w:lang w:eastAsia="ko-KR"/>
        </w:rPr>
        <w:t>)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. KRAIBURG </w:t>
      </w:r>
      <w:proofErr w:type="gramStart"/>
      <w:r w:rsidRPr="009004A5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9004A5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004A5">
        <w:rPr>
          <w:rFonts w:ascii="Arial" w:eastAsia="NanumGothic" w:hAnsi="Arial" w:cs="Arial"/>
          <w:bCs/>
          <w:sz w:val="20"/>
          <w:lang w:eastAsia="ko-KR"/>
        </w:rPr>
        <w:t>)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>. 2019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645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9000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004A5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9004A5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bookmarkEnd w:id="0"/>
    </w:p>
    <w:sectPr w:rsidR="00B859B0" w:rsidRPr="009004A5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6F07B" w14:textId="77777777" w:rsidR="009D6A2B" w:rsidRDefault="009D6A2B" w:rsidP="00784C57">
      <w:pPr>
        <w:spacing w:after="0" w:line="240" w:lineRule="auto"/>
      </w:pPr>
      <w:r>
        <w:separator/>
      </w:r>
    </w:p>
  </w:endnote>
  <w:endnote w:type="continuationSeparator" w:id="0">
    <w:p w14:paraId="4266655A" w14:textId="77777777" w:rsidR="009D6A2B" w:rsidRDefault="009D6A2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9004A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004A5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9E49A7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E49A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0E38F" w14:textId="77777777" w:rsidR="009D6A2B" w:rsidRDefault="009D6A2B" w:rsidP="00784C57">
      <w:pPr>
        <w:spacing w:after="0" w:line="240" w:lineRule="auto"/>
      </w:pPr>
      <w:r>
        <w:separator/>
      </w:r>
    </w:p>
  </w:footnote>
  <w:footnote w:type="continuationSeparator" w:id="0">
    <w:p w14:paraId="04EA404B" w14:textId="77777777" w:rsidR="009D6A2B" w:rsidRDefault="009D6A2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6933213" w14:textId="77777777" w:rsidR="009004A5" w:rsidRPr="009004A5" w:rsidRDefault="009004A5" w:rsidP="009004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224D8F"/>
              <w:sz w:val="40"/>
              <w:szCs w:val="40"/>
              <w:lang w:val="de-DE" w:eastAsia="ko-KR"/>
            </w:rPr>
          </w:pPr>
          <w:r w:rsidRPr="009004A5">
            <w:rPr>
              <w:rFonts w:ascii="Malgun Gothic" w:eastAsia="Malgun Gothic" w:hAnsi="Malgun Gothic" w:cs="Arial" w:hint="eastAsia"/>
              <w:b/>
              <w:bCs/>
              <w:color w:val="224D8F"/>
              <w:sz w:val="40"/>
              <w:szCs w:val="40"/>
              <w:lang w:eastAsia="ko-KR"/>
            </w:rPr>
            <w:t>보도</w:t>
          </w:r>
          <w:r w:rsidRPr="009004A5">
            <w:rPr>
              <w:rFonts w:ascii="Malgun Gothic" w:eastAsia="Malgun Gothic" w:hAnsi="Malgun Gothic" w:cs="Arial" w:hint="eastAsia"/>
              <w:b/>
              <w:bCs/>
              <w:color w:val="224D8F"/>
              <w:sz w:val="40"/>
              <w:szCs w:val="40"/>
              <w:lang w:val="de-DE" w:eastAsia="ko-KR"/>
            </w:rPr>
            <w:t xml:space="preserve"> </w:t>
          </w:r>
          <w:r w:rsidRPr="009004A5">
            <w:rPr>
              <w:rFonts w:ascii="Malgun Gothic" w:eastAsia="Malgun Gothic" w:hAnsi="Malgun Gothic" w:cs="Arial" w:hint="eastAsia"/>
              <w:b/>
              <w:bCs/>
              <w:color w:val="224D8F"/>
              <w:sz w:val="40"/>
              <w:szCs w:val="40"/>
              <w:lang w:eastAsia="ko-KR"/>
            </w:rPr>
            <w:t>자료</w:t>
          </w:r>
        </w:p>
        <w:p w14:paraId="57F4B002" w14:textId="77777777" w:rsidR="009004A5" w:rsidRPr="009004A5" w:rsidRDefault="009004A5" w:rsidP="009004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40"/>
              <w:szCs w:val="40"/>
              <w:lang w:val="de-DE" w:eastAsia="ko-KR"/>
            </w:rPr>
          </w:pP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T</w:t>
          </w:r>
          <w:r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PE 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파워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업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게임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액세서리</w:t>
          </w:r>
        </w:p>
        <w:p w14:paraId="611123E7" w14:textId="77777777" w:rsidR="009004A5" w:rsidRPr="009004A5" w:rsidRDefault="009004A5" w:rsidP="009004A5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2021</w:t>
          </w: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99B3353" w:rsidR="00502615" w:rsidRPr="00073D11" w:rsidRDefault="009004A5" w:rsidP="009004A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7</w:t>
          </w:r>
          <w:r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3D8A8D2" w14:textId="77777777" w:rsidR="00B859B0" w:rsidRPr="009004A5" w:rsidRDefault="005165D9" w:rsidP="00B859B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224D8F"/>
              <w:sz w:val="40"/>
              <w:szCs w:val="40"/>
              <w:lang w:eastAsia="ko-KR"/>
            </w:rPr>
          </w:pPr>
          <w:bookmarkStart w:id="1" w:name="_Hlk21089242"/>
          <w:r w:rsidRPr="009004A5">
            <w:rPr>
              <w:rFonts w:ascii="Malgun Gothic" w:eastAsia="Malgun Gothic" w:hAnsi="Malgun Gothic" w:cs="Arial" w:hint="eastAsia"/>
              <w:b/>
              <w:bCs/>
              <w:color w:val="224D8F"/>
              <w:sz w:val="40"/>
              <w:szCs w:val="40"/>
              <w:lang w:eastAsia="ko-KR"/>
            </w:rPr>
            <w:t>보도 자료</w:t>
          </w:r>
          <w:bookmarkEnd w:id="1"/>
        </w:p>
        <w:p w14:paraId="03C25392" w14:textId="40BF6647" w:rsidR="00FC1245" w:rsidRPr="009004A5" w:rsidRDefault="004A5CF0" w:rsidP="00B859B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40"/>
              <w:szCs w:val="40"/>
              <w:lang w:eastAsia="ko-KR"/>
            </w:rPr>
          </w:pPr>
          <w:r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T</w:t>
          </w:r>
          <w:r w:rsidR="009E49A7"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PE </w:t>
          </w:r>
          <w:r w:rsidR="005165D9" w:rsidRPr="009004A5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파워 업 게임 액세서리</w:t>
          </w:r>
        </w:p>
        <w:p w14:paraId="765F9503" w14:textId="3925DCA0" w:rsidR="003C4170" w:rsidRPr="009004A5" w:rsidRDefault="005165D9" w:rsidP="003C417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2021</w:t>
          </w: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년 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</w:t>
          </w: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1CDD81C5" w:rsidR="003C4170" w:rsidRPr="00073D11" w:rsidRDefault="005165D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004A5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A5F96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004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004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A5F96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004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66DC"/>
    <w:rsid w:val="00017247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3715"/>
    <w:rsid w:val="0008699C"/>
    <w:rsid w:val="000903ED"/>
    <w:rsid w:val="0009376B"/>
    <w:rsid w:val="00096CA7"/>
    <w:rsid w:val="00097276"/>
    <w:rsid w:val="00097D31"/>
    <w:rsid w:val="000A3B2D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3863"/>
    <w:rsid w:val="001F37C4"/>
    <w:rsid w:val="001F4135"/>
    <w:rsid w:val="001F4F5D"/>
    <w:rsid w:val="00201710"/>
    <w:rsid w:val="00211059"/>
    <w:rsid w:val="002129DC"/>
    <w:rsid w:val="00214C89"/>
    <w:rsid w:val="00225FD8"/>
    <w:rsid w:val="002262B1"/>
    <w:rsid w:val="00235844"/>
    <w:rsid w:val="00235BA5"/>
    <w:rsid w:val="00251AB1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3818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66D9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5CF0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61BE"/>
    <w:rsid w:val="004F6395"/>
    <w:rsid w:val="004F758B"/>
    <w:rsid w:val="00502615"/>
    <w:rsid w:val="0050419E"/>
    <w:rsid w:val="00505735"/>
    <w:rsid w:val="005146C9"/>
    <w:rsid w:val="005165D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6F3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722A"/>
    <w:rsid w:val="00610497"/>
    <w:rsid w:val="00614010"/>
    <w:rsid w:val="00614013"/>
    <w:rsid w:val="006154FB"/>
    <w:rsid w:val="00620F45"/>
    <w:rsid w:val="00621FED"/>
    <w:rsid w:val="0063701A"/>
    <w:rsid w:val="006417A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4999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47BF9"/>
    <w:rsid w:val="00762555"/>
    <w:rsid w:val="0078239C"/>
    <w:rsid w:val="007831E2"/>
    <w:rsid w:val="00784C57"/>
    <w:rsid w:val="00786798"/>
    <w:rsid w:val="007935B6"/>
    <w:rsid w:val="00793BF4"/>
    <w:rsid w:val="007974C7"/>
    <w:rsid w:val="007A5076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04A5"/>
    <w:rsid w:val="00901B23"/>
    <w:rsid w:val="00905FBF"/>
    <w:rsid w:val="009140E1"/>
    <w:rsid w:val="00916950"/>
    <w:rsid w:val="00923D2E"/>
    <w:rsid w:val="009324CB"/>
    <w:rsid w:val="00935C50"/>
    <w:rsid w:val="00937972"/>
    <w:rsid w:val="009416C1"/>
    <w:rsid w:val="00945459"/>
    <w:rsid w:val="00947D55"/>
    <w:rsid w:val="00962F43"/>
    <w:rsid w:val="00964C40"/>
    <w:rsid w:val="0098002D"/>
    <w:rsid w:val="00980DBB"/>
    <w:rsid w:val="009927D5"/>
    <w:rsid w:val="009A44CB"/>
    <w:rsid w:val="009B1C7C"/>
    <w:rsid w:val="009B5422"/>
    <w:rsid w:val="009C48F1"/>
    <w:rsid w:val="009D61E9"/>
    <w:rsid w:val="009D6A2B"/>
    <w:rsid w:val="009D70E1"/>
    <w:rsid w:val="009E49A7"/>
    <w:rsid w:val="009E74A0"/>
    <w:rsid w:val="009F499B"/>
    <w:rsid w:val="009F619F"/>
    <w:rsid w:val="009F61CE"/>
    <w:rsid w:val="00A034FB"/>
    <w:rsid w:val="00A20F10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5A3C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59B0"/>
    <w:rsid w:val="00B9507E"/>
    <w:rsid w:val="00BA0E90"/>
    <w:rsid w:val="00BA383C"/>
    <w:rsid w:val="00BA5F96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03942"/>
    <w:rsid w:val="00C10035"/>
    <w:rsid w:val="00C1393B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5D6F"/>
    <w:rsid w:val="00C765FC"/>
    <w:rsid w:val="00C8056E"/>
    <w:rsid w:val="00C95294"/>
    <w:rsid w:val="00C971F2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6B8F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822E3-1993-4F62-87E5-F5A138C7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2451</Characters>
  <Application>Microsoft Office Word</Application>
  <DocSecurity>0</DocSecurity>
  <Lines>20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2021-02-09T04:10:00Z</dcterms:created>
  <dcterms:modified xsi:type="dcterms:W3CDTF">2021-02-09T08:53:00Z</dcterms:modified>
</cp:coreProperties>
</file>