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DD82" w14:textId="4CBC8189" w:rsidR="003821DB" w:rsidRPr="003821DB" w:rsidRDefault="003821DB" w:rsidP="00CC14FA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</w:pPr>
      <w:r w:rsidRPr="003821D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3821DB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 xml:space="preserve"> </w:t>
      </w:r>
      <w:r w:rsidRPr="003821D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推出</w:t>
      </w:r>
      <w:r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适用于</w:t>
      </w:r>
      <w:r w:rsidRPr="003821D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汽车外饰应用的创新</w:t>
      </w:r>
      <w:r w:rsidRPr="003821DB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TPE</w:t>
      </w:r>
      <w:r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化合物</w:t>
      </w:r>
      <w:r w:rsidRPr="003821D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系列</w:t>
      </w:r>
    </w:p>
    <w:p w14:paraId="364C1D06" w14:textId="1BF31275" w:rsidR="003821DB" w:rsidRDefault="003821DB" w:rsidP="00CC14FA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全球环境的话题近年来不断受到关注，这迫使汽车制造商寻求更环保的材料，以实现可持续发展的目标。其中一个热议的解决方案是</w:t>
      </w:r>
      <w:r w:rsidRPr="00C34B49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可持续热塑性弹性体</w:t>
      </w:r>
      <w:r w:rsidRPr="00C34B49">
        <w:rPr>
          <w:rFonts w:ascii="Arial" w:hAnsi="Arial" w:cs="Arial" w:hint="eastAsia"/>
          <w:sz w:val="20"/>
          <w:szCs w:val="20"/>
          <w:highlight w:val="yellow"/>
          <w:lang w:eastAsia="zh-CN"/>
        </w:rPr>
        <w:t>（</w:t>
      </w:r>
      <w:r w:rsidRPr="00C34B49">
        <w:rPr>
          <w:rFonts w:ascii="Arial" w:hAnsi="Arial" w:cs="Arial" w:hint="eastAsia"/>
          <w:sz w:val="20"/>
          <w:szCs w:val="20"/>
          <w:highlight w:val="yellow"/>
          <w:lang w:eastAsia="zh-CN"/>
        </w:rPr>
        <w:t>TPE</w:t>
      </w:r>
      <w:r w:rsidRPr="00C34B49">
        <w:rPr>
          <w:rFonts w:ascii="Arial" w:hAnsi="Arial" w:cs="Arial" w:hint="eastAsia"/>
          <w:sz w:val="20"/>
          <w:szCs w:val="20"/>
          <w:highlight w:val="yellow"/>
          <w:lang w:eastAsia="zh-CN"/>
        </w:rPr>
        <w:t>）</w:t>
      </w:r>
      <w:r w:rsidR="001030BB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hyperlink r:id="rId11" w:history="1">
        <w:r w:rsidR="001030BB" w:rsidRPr="008B7292">
          <w:rPr>
            <w:rStyle w:val="Hyperlink"/>
            <w:rFonts w:cstheme="minorHAnsi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，其环保特性和在各种外部零件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中的多功能使用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，成为汽车外饰应用的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首选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2CAA4490" w14:textId="77777777" w:rsidR="00D41BB1" w:rsidRPr="00D41BB1" w:rsidRDefault="00D41BB1" w:rsidP="00CC14FA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596393BC" w14:textId="0F40C42F" w:rsidR="00D41BB1" w:rsidRPr="00D41BB1" w:rsidRDefault="00D41BB1" w:rsidP="00CC14FA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D41B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 xml:space="preserve"> 作为全球热塑性弹性体材料和定制解决方案的制造商设计了专为</w:t>
      </w:r>
      <w:r w:rsidRPr="00D41BB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汽车外饰应用</w:t>
      </w:r>
      <w:r w:rsidR="001030B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hyperlink r:id="rId12" w:history="1">
        <w:r w:rsidR="001030BB" w:rsidRPr="008B7292">
          <w:rPr>
            <w:rStyle w:val="Hyperlink"/>
            <w:rFonts w:eastAsia="SimHei" w:cstheme="minorHAnsi"/>
            <w:sz w:val="20"/>
            <w:szCs w:val="20"/>
            <w:lang w:eastAsia="zh-CN"/>
          </w:rPr>
          <w:t>https://www.kraiburg-tpe.com/zh-hans/%E6%B1%BD%E8%BD%A6%E5%A4%96%E9%A5%B0TPE</w:t>
        </w:r>
      </w:hyperlink>
      <w:r w:rsidR="001030BB" w:rsidRPr="001030BB">
        <w:rPr>
          <w:rFonts w:eastAsia="SimHei" w:cstheme="minorHAnsi"/>
          <w:sz w:val="20"/>
          <w:szCs w:val="20"/>
          <w:lang w:eastAsia="zh-CN"/>
        </w:rPr>
        <w:t xml:space="preserve"> 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量身定制的革命性</w:t>
      </w:r>
      <w:r w:rsidRPr="00D41BB1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化合物系列。这个</w:t>
      </w:r>
      <w:r w:rsidR="00F33183"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突破性的系列名为热塑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宝</w:t>
      </w:r>
      <w:r>
        <w:rPr>
          <w:rFonts w:ascii="Arial" w:hAnsi="Arial" w:cs="Arial" w:hint="eastAsia"/>
          <w:sz w:val="20"/>
          <w:szCs w:val="20"/>
          <w:lang w:eastAsia="zh-CN"/>
        </w:rPr>
        <w:t>R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(</w:t>
      </w:r>
      <w:r w:rsidRPr="00D41BB1">
        <w:rPr>
          <w:rFonts w:ascii="Arial" w:hAnsi="Arial" w:cs="Arial" w:hint="eastAsia"/>
          <w:sz w:val="20"/>
          <w:szCs w:val="20"/>
          <w:lang w:eastAsia="zh-CN"/>
        </w:rPr>
        <w:t>THERMOLAST® R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D41BB1">
        <w:rPr>
          <w:rFonts w:ascii="Arial" w:hAnsi="Arial" w:cs="Arial" w:hint="eastAsia"/>
          <w:sz w:val="20"/>
          <w:szCs w:val="20"/>
          <w:lang w:eastAsia="zh-CN"/>
        </w:rPr>
        <w:t xml:space="preserve"> RC/UV/AP</w:t>
      </w:r>
      <w:r w:rsidRPr="00D41BB1">
        <w:rPr>
          <w:rFonts w:ascii="SimHei" w:eastAsia="SimHei" w:hAnsi="SimHei" w:cs="Arial" w:hint="eastAsia"/>
          <w:sz w:val="20"/>
          <w:szCs w:val="20"/>
          <w:lang w:eastAsia="zh-CN"/>
        </w:rPr>
        <w:t>，承诺在保持卓越性能的同时，实现汽车行业对可持续性发展的理念。</w:t>
      </w:r>
    </w:p>
    <w:p w14:paraId="4DF2D9E5" w14:textId="77777777" w:rsidR="00D41BB1" w:rsidRPr="00D41BB1" w:rsidRDefault="00D41BB1" w:rsidP="00D41B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4381731" w14:textId="0C3E2803" w:rsidR="00CC14FA" w:rsidRPr="00D41BB1" w:rsidRDefault="001030BB" w:rsidP="00D41BB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热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塑</w:t>
      </w:r>
      <w:r w:rsidR="00D41BB1">
        <w:rPr>
          <w:rFonts w:ascii="SimHei" w:eastAsia="SimHei" w:hAnsi="SimHei" w:cs="Arial" w:hint="eastAsia"/>
          <w:sz w:val="20"/>
          <w:szCs w:val="20"/>
          <w:lang w:eastAsia="zh-CN"/>
        </w:rPr>
        <w:t>宝</w:t>
      </w:r>
      <w:r w:rsidR="00D41BB1">
        <w:rPr>
          <w:rFonts w:ascii="Arial" w:hAnsi="Arial" w:cs="Arial" w:hint="eastAsia"/>
          <w:sz w:val="20"/>
          <w:szCs w:val="20"/>
          <w:lang w:eastAsia="zh-CN"/>
        </w:rPr>
        <w:t>R</w:t>
      </w:r>
      <w:r w:rsidR="00D41BB1">
        <w:rPr>
          <w:rFonts w:ascii="Arial" w:hAnsi="Arial" w:cs="Arial"/>
          <w:sz w:val="20"/>
          <w:szCs w:val="20"/>
          <w:lang w:eastAsia="zh-CN"/>
        </w:rPr>
        <w:t xml:space="preserve"> </w:t>
      </w:r>
      <w:r w:rsidR="00D41BB1">
        <w:rPr>
          <w:rFonts w:ascii="Arial" w:hAnsi="Arial" w:cs="Arial" w:hint="eastAsia"/>
          <w:sz w:val="20"/>
          <w:szCs w:val="20"/>
          <w:lang w:eastAsia="zh-CN"/>
        </w:rPr>
        <w:t>(</w:t>
      </w:r>
      <w:r w:rsidR="00D41BB1" w:rsidRPr="00D41BB1">
        <w:rPr>
          <w:rFonts w:ascii="Arial" w:hAnsi="Arial" w:cs="Arial" w:hint="eastAsia"/>
          <w:sz w:val="20"/>
          <w:szCs w:val="20"/>
          <w:lang w:eastAsia="zh-CN"/>
        </w:rPr>
        <w:t>THERMOLAST® R</w:t>
      </w:r>
      <w:r w:rsidR="00D41BB1">
        <w:rPr>
          <w:rFonts w:ascii="Arial" w:hAnsi="Arial" w:cs="Arial"/>
          <w:sz w:val="20"/>
          <w:szCs w:val="20"/>
          <w:lang w:eastAsia="zh-CN"/>
        </w:rPr>
        <w:t>)</w:t>
      </w:r>
      <w:r w:rsidR="00D41BB1" w:rsidRPr="00D41BB1">
        <w:rPr>
          <w:rFonts w:ascii="Arial" w:hAnsi="Arial" w:cs="Arial" w:hint="eastAsia"/>
          <w:sz w:val="20"/>
          <w:szCs w:val="20"/>
          <w:lang w:eastAsia="zh-CN"/>
        </w:rPr>
        <w:t xml:space="preserve"> RC/UV/AP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以其对</w:t>
      </w:r>
      <w:r w:rsidR="00D41BB1" w:rsidRPr="00D41BB1">
        <w:rPr>
          <w:rFonts w:ascii="Arial" w:hAnsi="Arial" w:cs="Arial" w:hint="eastAsia"/>
          <w:sz w:val="20"/>
          <w:szCs w:val="20"/>
          <w:lang w:eastAsia="zh-CN"/>
        </w:rPr>
        <w:t>PP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的卓越包胶性能和抗</w:t>
      </w:r>
      <w:r w:rsidR="00D41BB1">
        <w:rPr>
          <w:rFonts w:ascii="Arial" w:hAnsi="Arial" w:cs="Arial" w:hint="eastAsia"/>
          <w:sz w:val="20"/>
          <w:szCs w:val="20"/>
          <w:lang w:eastAsia="zh-CN"/>
        </w:rPr>
        <w:t>U</w:t>
      </w:r>
      <w:r w:rsidR="00D41BB1">
        <w:rPr>
          <w:rFonts w:ascii="Arial" w:hAnsi="Arial" w:cs="Arial"/>
          <w:sz w:val="20"/>
          <w:szCs w:val="20"/>
          <w:lang w:eastAsia="zh-CN"/>
        </w:rPr>
        <w:t>V</w:t>
      </w:r>
      <w:r w:rsidR="00D41BB1" w:rsidRPr="00D41BB1">
        <w:rPr>
          <w:rFonts w:ascii="SimHei" w:eastAsia="SimHei" w:hAnsi="SimHei" w:cs="Arial" w:hint="eastAsia"/>
          <w:sz w:val="20"/>
          <w:szCs w:val="20"/>
          <w:lang w:eastAsia="zh-CN"/>
        </w:rPr>
        <w:t>紫外线的性能脱颖而出。其优雅的黑色外观使其成为理想的材料解决方案，以满足亚太地区汽车市场的严苛需求。</w:t>
      </w:r>
    </w:p>
    <w:p w14:paraId="4C9FF23E" w14:textId="77777777" w:rsidR="00D41BB1" w:rsidRPr="00D41BB1" w:rsidRDefault="00D41BB1" w:rsidP="00D41BB1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4138A62C" w14:textId="2F1D2418" w:rsidR="00CC14FA" w:rsidRPr="00D41BB1" w:rsidRDefault="00D41BB1" w:rsidP="00D41BB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D41BB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减少环境影响</w:t>
      </w:r>
    </w:p>
    <w:p w14:paraId="312108EA" w14:textId="50ED2339" w:rsidR="00D36E80" w:rsidRDefault="00D41BB1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这个创新的</w:t>
      </w:r>
      <w:r w:rsidRPr="00D41BB1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系列着重在于其对环境责任的承诺。通过将</w:t>
      </w:r>
      <w:r w:rsidRPr="00D41BB1">
        <w:rPr>
          <w:rFonts w:ascii="Arial" w:hAnsi="Arial" w:cs="Arial" w:hint="eastAsia"/>
          <w:sz w:val="20"/>
          <w:szCs w:val="20"/>
          <w:lang w:eastAsia="zh-CN"/>
        </w:rPr>
        <w:t>15-40</w:t>
      </w:r>
      <w:r w:rsidRPr="00D36E80">
        <w:rPr>
          <w:rFonts w:ascii="Arial" w:eastAsia="SimHei" w:hAnsi="Arial" w:cs="Arial"/>
          <w:sz w:val="20"/>
          <w:szCs w:val="20"/>
          <w:lang w:eastAsia="zh-CN"/>
        </w:rPr>
        <w:t>％</w:t>
      </w:r>
      <w:r w:rsidR="00D36E80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的消费后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回收物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回收利用，</w:t>
      </w:r>
      <w:r w:rsidR="00D36E80" w:rsidRPr="00D41BB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D36E80" w:rsidRPr="00D41B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D36E80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在汽车生产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上减少了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环境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方面的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影响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，从而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迈出了重要的一步。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这种循环经济的方法体现了公司在汽车行业内</w:t>
      </w:r>
      <w:r w:rsidR="00D36E80">
        <w:rPr>
          <w:rFonts w:ascii="SimHei" w:eastAsia="SimHei" w:hAnsi="SimHei" w:cs="Arial" w:hint="eastAsia"/>
          <w:sz w:val="20"/>
          <w:szCs w:val="20"/>
          <w:lang w:eastAsia="zh-CN"/>
        </w:rPr>
        <w:t>对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可持续</w:t>
      </w:r>
      <w:r w:rsidR="00D36E80">
        <w:rPr>
          <w:rFonts w:ascii="SimHei" w:eastAsia="SimHei" w:hAnsi="SimHei" w:cs="Arial" w:hint="eastAsia"/>
          <w:sz w:val="20"/>
          <w:szCs w:val="20"/>
          <w:lang w:eastAsia="zh-CN"/>
        </w:rPr>
        <w:t>发展</w:t>
      </w:r>
      <w:r w:rsidR="00D36E80" w:rsidRPr="00D36E80">
        <w:rPr>
          <w:rFonts w:ascii="SimHei" w:eastAsia="SimHei" w:hAnsi="SimHei" w:cs="Arial" w:hint="eastAsia"/>
          <w:sz w:val="20"/>
          <w:szCs w:val="20"/>
          <w:lang w:eastAsia="zh-CN"/>
        </w:rPr>
        <w:t>方面的奉献精神。</w:t>
      </w:r>
    </w:p>
    <w:p w14:paraId="44AEBB92" w14:textId="77777777" w:rsidR="001030BB" w:rsidRPr="009E5ABD" w:rsidRDefault="001030BB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A1CAE6D" w14:textId="77777777" w:rsidR="00D36E80" w:rsidRPr="00D36E80" w:rsidRDefault="00D36E80" w:rsidP="0072737D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D36E80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材料优势</w:t>
      </w:r>
    </w:p>
    <w:p w14:paraId="3433D303" w14:textId="682E331B" w:rsidR="00D36E80" w:rsidRPr="00D36E80" w:rsidRDefault="00D36E80" w:rsidP="0072737D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我司的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15-40</w:t>
      </w:r>
      <w:r w:rsidRPr="00D36E80">
        <w:rPr>
          <w:rFonts w:ascii="Arial" w:hAnsi="Arial" w:cs="Arial"/>
          <w:sz w:val="20"/>
          <w:szCs w:val="20"/>
          <w:lang w:eastAsia="zh-CN"/>
        </w:rPr>
        <w:t>％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的消费后回收物利用率，积极促进降低生态足迹，体现可持续性发展和负责任的制造商。该材料经过工程设计，能够经受住恶劣的户外环境条件，拥有出色的</w:t>
      </w:r>
      <w:r w:rsidRPr="001030BB">
        <w:rPr>
          <w:rFonts w:ascii="SimHei" w:eastAsia="SimHei" w:hAnsi="SimHei" w:cs="Arial" w:hint="eastAsia"/>
          <w:sz w:val="20"/>
          <w:szCs w:val="20"/>
          <w:lang w:eastAsia="zh-CN"/>
        </w:rPr>
        <w:t>耐候性</w:t>
      </w:r>
      <w:r w:rsidRPr="00D36E80">
        <w:rPr>
          <w:rFonts w:ascii="SimHei" w:eastAsia="SimHei" w:hAnsi="SimHei" w:cs="Arial" w:hint="eastAsia"/>
          <w:sz w:val="20"/>
          <w:szCs w:val="20"/>
          <w:lang w:eastAsia="zh-CN"/>
        </w:rPr>
        <w:t>，确保优异的性能和耐久性。其与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PP</w:t>
      </w:r>
      <w:r w:rsidRPr="00D36E80">
        <w:rPr>
          <w:rFonts w:ascii="SimHei" w:eastAsia="SimHei" w:hAnsi="SimHei" w:cs="Arial"/>
          <w:sz w:val="20"/>
          <w:szCs w:val="20"/>
          <w:lang w:eastAsia="zh-CN"/>
        </w:rPr>
        <w:t>材料的无缝包胶提高了零部件的整合性和寿命。</w:t>
      </w:r>
    </w:p>
    <w:p w14:paraId="53AF4A2D" w14:textId="77777777" w:rsidR="008B4695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BE9AD10" w14:textId="497C3EAA" w:rsidR="00D36E80" w:rsidRPr="00F21025" w:rsidRDefault="00D36E80" w:rsidP="0072737D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36E80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的低密度有助于轻量化和节油的车辆设计，而其令人印象深刻的温度稳定性高达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90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°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C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，确保在不同的天气条件下保持材料完整性。在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50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至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90 Shore A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的硬度范围内，它为多样的外部应用提供了灵活性。经过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2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年周期的严格佛罗里达测试并取得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GS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≥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4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评级，我司的</w:t>
      </w:r>
      <w:r w:rsidRPr="00D36E80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1030BB">
        <w:rPr>
          <w:rFonts w:ascii="SimHei" w:eastAsia="SimHei" w:hAnsi="SimHei" w:cs="Arial" w:hint="eastAsia"/>
          <w:sz w:val="20"/>
          <w:szCs w:val="20"/>
          <w:lang w:eastAsia="zh-CN"/>
        </w:rPr>
        <w:t>展现出出色的耐候性和抗</w:t>
      </w:r>
      <w:r w:rsidRPr="001030BB">
        <w:rPr>
          <w:rFonts w:ascii="Arial" w:hAnsi="Arial" w:cs="Arial" w:hint="eastAsia"/>
          <w:sz w:val="20"/>
          <w:szCs w:val="20"/>
          <w:lang w:eastAsia="zh-CN"/>
        </w:rPr>
        <w:t>UV</w:t>
      </w:r>
      <w:r w:rsidRPr="001030BB">
        <w:rPr>
          <w:rFonts w:ascii="SimHei" w:eastAsia="SimHei" w:hAnsi="SimHei" w:cs="Arial" w:hint="eastAsia"/>
          <w:sz w:val="20"/>
          <w:szCs w:val="20"/>
          <w:lang w:eastAsia="zh-CN"/>
        </w:rPr>
        <w:t>紫外线</w:t>
      </w:r>
      <w:r w:rsidR="001030B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1030BB" w:rsidRPr="008B7292">
          <w:rPr>
            <w:rStyle w:val="Hyperlink"/>
            <w:rFonts w:eastAsia="SimHei" w:cstheme="minorHAnsi"/>
            <w:sz w:val="20"/>
            <w:szCs w:val="20"/>
            <w:lang w:eastAsia="zh-CN"/>
          </w:rPr>
          <w:t>https://www.kraiburg-tpe.com/zh-hans/%E5%87%AF%E6%9F%8F%E8%83%B6%E5%AE%9D%C2%AE%E4%B8%BA%E5%AF%BC%E8%88%AA%E8%AE%BE%E5%A4%87%E5%A2%9E%E6%B7%BB%E6%96%B0%E5%8A%9F%E8%83%BD%E5%92%8C%E8%AE%BE%E8%AE%A1</w:t>
        </w:r>
      </w:hyperlink>
      <w:r w:rsidR="001030BB" w:rsidRPr="001030BB">
        <w:rPr>
          <w:rFonts w:eastAsia="SimHei" w:cstheme="minorHAnsi"/>
          <w:sz w:val="20"/>
          <w:szCs w:val="20"/>
          <w:lang w:eastAsia="zh-CN"/>
        </w:rPr>
        <w:t xml:space="preserve"> </w:t>
      </w:r>
      <w:r w:rsidR="001030B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性能。</w:t>
      </w:r>
    </w:p>
    <w:p w14:paraId="2FC2E111" w14:textId="77777777" w:rsidR="008B4695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41AADF7" w14:textId="4ABB168A" w:rsidR="008B4695" w:rsidRDefault="00F21025" w:rsidP="0072737D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我司的可持续</w:t>
      </w:r>
      <w:r w:rsidRPr="00F21025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系列通过回收特定原材料，提升您汽车外部的美感吸引力。选择我司的</w:t>
      </w:r>
      <w:r w:rsidRPr="00F21025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化合物，集卓越的性能、环保特性和风格于您的汽车应用中。</w:t>
      </w:r>
    </w:p>
    <w:p w14:paraId="5F0B17B5" w14:textId="77777777" w:rsidR="00F21025" w:rsidRDefault="00F2102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FCE4D3B" w14:textId="4DE14430" w:rsidR="004701E5" w:rsidRDefault="00F21025" w:rsidP="0072737D">
      <w:pPr>
        <w:spacing w:line="360" w:lineRule="auto"/>
        <w:ind w:right="1559"/>
        <w:jc w:val="both"/>
        <w:rPr>
          <w:lang w:eastAsia="zh-CN"/>
        </w:rPr>
      </w:pP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>
        <w:rPr>
          <w:rFonts w:ascii="Arial" w:hAnsi="Arial" w:cs="Arial" w:hint="eastAsia"/>
          <w:sz w:val="20"/>
          <w:szCs w:val="20"/>
          <w:lang w:eastAsia="zh-CN"/>
        </w:rPr>
        <w:t>R</w:t>
      </w:r>
      <w:r>
        <w:rPr>
          <w:rFonts w:ascii="Arial" w:hAnsi="Arial" w:cs="Arial"/>
          <w:sz w:val="20"/>
          <w:szCs w:val="20"/>
          <w:lang w:eastAsia="zh-CN"/>
        </w:rPr>
        <w:t xml:space="preserve"> (</w:t>
      </w:r>
      <w:r w:rsidRPr="00F21025">
        <w:rPr>
          <w:rFonts w:ascii="Arial" w:hAnsi="Arial" w:cs="Arial" w:hint="eastAsia"/>
          <w:sz w:val="20"/>
          <w:szCs w:val="20"/>
          <w:lang w:eastAsia="zh-CN"/>
        </w:rPr>
        <w:t>THERMOLAST® R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F21025">
        <w:rPr>
          <w:rFonts w:ascii="Arial" w:hAnsi="Arial" w:cs="Arial" w:hint="eastAsia"/>
          <w:sz w:val="20"/>
          <w:szCs w:val="20"/>
          <w:lang w:eastAsia="zh-CN"/>
        </w:rPr>
        <w:t xml:space="preserve"> RC/UV/AP 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的多功能特性使其非常适用于各种汽车外部应用，包括通风隔栅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,</w:t>
      </w:r>
      <w:r w:rsidRPr="00F21025">
        <w:rPr>
          <w:rFonts w:hint="eastAsia"/>
          <w:lang w:eastAsia="zh-CN"/>
        </w:rPr>
        <w:t xml:space="preserve"> 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玻璃封边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,</w:t>
      </w:r>
      <w:r w:rsidRPr="00F21025">
        <w:rPr>
          <w:rFonts w:hint="eastAsia"/>
          <w:lang w:eastAsia="zh-CN"/>
        </w:rPr>
        <w:t xml:space="preserve"> 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电动汽车领域相关应用</w:t>
      </w:r>
      <w:r>
        <w:rPr>
          <w:rFonts w:ascii="SimHei" w:eastAsia="SimHei" w:hAnsi="SimHei" w:cs="Arial"/>
          <w:sz w:val="20"/>
          <w:szCs w:val="20"/>
          <w:lang w:eastAsia="zh-CN"/>
        </w:rPr>
        <w:t>,</w:t>
      </w:r>
      <w:r w:rsidRPr="00F21025">
        <w:rPr>
          <w:rFonts w:hint="eastAsia"/>
          <w:lang w:eastAsia="zh-CN"/>
        </w:rPr>
        <w:t xml:space="preserve"> </w:t>
      </w:r>
      <w:r w:rsidRPr="00F21025">
        <w:rPr>
          <w:rFonts w:ascii="SimHei" w:eastAsia="SimHei" w:hAnsi="SimHei" w:cs="Arial" w:hint="eastAsia"/>
          <w:sz w:val="20"/>
          <w:szCs w:val="20"/>
          <w:lang w:eastAsia="zh-CN"/>
        </w:rPr>
        <w:t>车身底部应用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等等。</w:t>
      </w:r>
      <w:r>
        <w:rPr>
          <w:lang w:eastAsia="zh-CN"/>
        </w:rPr>
        <w:t xml:space="preserve"> </w:t>
      </w:r>
    </w:p>
    <w:p w14:paraId="1D642956" w14:textId="77777777" w:rsidR="00F21025" w:rsidRDefault="00F21025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01CD000F" w14:textId="77777777" w:rsidR="001030BB" w:rsidRDefault="001030BB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35D21B53" w14:textId="77777777" w:rsidR="003821DB" w:rsidRPr="00BB183D" w:rsidRDefault="003821DB" w:rsidP="003821DB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586F0DAD" w14:textId="76A4C7B0" w:rsidR="003821DB" w:rsidRPr="00BB183D" w:rsidRDefault="003821DB" w:rsidP="003821DB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376C8D79" w14:textId="77777777" w:rsidR="003821DB" w:rsidRPr="00BB183D" w:rsidRDefault="003821DB" w:rsidP="003821DB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A7C3CD0" w14:textId="77777777" w:rsidR="003821DB" w:rsidRPr="00BB183D" w:rsidRDefault="003821DB" w:rsidP="003821DB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D811217" w14:textId="47AA50B3" w:rsidR="002E4504" w:rsidRDefault="00203048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2D10E8AE" wp14:editId="3F74A13A">
            <wp:extent cx="4178341" cy="2711450"/>
            <wp:effectExtent l="0" t="0" r="0" b="0"/>
            <wp:docPr id="1" name="Picture 1" descr="A group of people sitting in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sitting in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794" cy="271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1F0EE" w14:textId="77777777" w:rsidR="003821DB" w:rsidRPr="0011128E" w:rsidRDefault="003821DB" w:rsidP="003821DB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7194B69F" w14:textId="77777777" w:rsidR="003821DB" w:rsidRPr="0011128E" w:rsidRDefault="003821DB" w:rsidP="003821DB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712EDBA2" w14:textId="77777777" w:rsidR="003821DB" w:rsidRDefault="003821DB" w:rsidP="003821DB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384D204C" w14:textId="77777777" w:rsidR="001030BB" w:rsidRDefault="001030BB" w:rsidP="003821DB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2DACC905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68BE7303" wp14:editId="6D4F27D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A87F56" w14:textId="77777777" w:rsidR="003821DB" w:rsidRPr="0011128E" w:rsidRDefault="00F33183" w:rsidP="003821DB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3821D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5329DAC3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10B900BC" wp14:editId="245DEFA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BA407D" w14:textId="77777777" w:rsidR="003821DB" w:rsidRPr="0011128E" w:rsidRDefault="00F33183" w:rsidP="003821DB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3821D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3821DB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3821D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0F48A021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7033C59C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0D30F7A6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2BFE52F" wp14:editId="56C81E2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639B574" wp14:editId="7EF3039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BDCEF79" wp14:editId="75DBE37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FB29617" wp14:editId="5134B10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D77DD49" wp14:editId="2A713CD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94617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5522AF54" w14:textId="77777777" w:rsidR="003821DB" w:rsidRPr="0011128E" w:rsidRDefault="003821DB" w:rsidP="003821D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538FA85" wp14:editId="05EFB36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74DB873" w:rsidR="001655F4" w:rsidRPr="003821DB" w:rsidRDefault="003821DB" w:rsidP="003821DB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3821DB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6739" w14:textId="77777777" w:rsidR="00FB566F" w:rsidRDefault="00FB566F" w:rsidP="00784C57">
      <w:pPr>
        <w:spacing w:after="0" w:line="240" w:lineRule="auto"/>
      </w:pPr>
      <w:r>
        <w:separator/>
      </w:r>
    </w:p>
  </w:endnote>
  <w:endnote w:type="continuationSeparator" w:id="0">
    <w:p w14:paraId="662D6B3E" w14:textId="77777777" w:rsidR="00FB566F" w:rsidRDefault="00FB566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E53C326">
              <wp:simplePos x="0" y="0"/>
              <wp:positionH relativeFrom="column">
                <wp:posOffset>4349115</wp:posOffset>
              </wp:positionH>
              <wp:positionV relativeFrom="paragraph">
                <wp:posOffset>-2979420</wp:posOffset>
              </wp:positionV>
              <wp:extent cx="1885950" cy="243522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6671BF" w14:textId="77777777" w:rsidR="003821DB" w:rsidRPr="002316B5" w:rsidRDefault="003821DB" w:rsidP="003821D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9268F97" w14:textId="77777777" w:rsidR="003821DB" w:rsidRPr="00073D11" w:rsidRDefault="003821DB" w:rsidP="003821D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75F8093" w14:textId="77777777" w:rsidR="003821DB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5D476BF" w14:textId="77777777" w:rsidR="003821DB" w:rsidRDefault="003821DB" w:rsidP="003821D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2DC5414" w14:textId="77777777" w:rsidR="003821DB" w:rsidRPr="002316B5" w:rsidRDefault="003821DB" w:rsidP="003821D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992632C" w14:textId="77777777" w:rsidR="003821DB" w:rsidRPr="002316B5" w:rsidRDefault="003821DB" w:rsidP="003821D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FF37C02" w14:textId="77777777" w:rsidR="003821DB" w:rsidRPr="002316B5" w:rsidRDefault="003821DB" w:rsidP="003821D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AE91738" w14:textId="77777777" w:rsidR="003821DB" w:rsidRPr="002316B5" w:rsidRDefault="00F33183" w:rsidP="003821D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3821D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B2C858D" w14:textId="77777777" w:rsidR="003821DB" w:rsidRPr="002316B5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60C53A2" w14:textId="77777777" w:rsidR="003821DB" w:rsidRPr="002316B5" w:rsidRDefault="003821DB" w:rsidP="003821D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1F1266D" w14:textId="77777777" w:rsidR="003821DB" w:rsidRPr="00607EE4" w:rsidRDefault="003821DB" w:rsidP="003821D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B5BDC65" w14:textId="77777777" w:rsidR="003821DB" w:rsidRPr="002316B5" w:rsidRDefault="003821DB" w:rsidP="003821D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E22DC64" w14:textId="77777777" w:rsidR="003821DB" w:rsidRPr="002316B5" w:rsidRDefault="003821DB" w:rsidP="003821D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A6DD008" w14:textId="77777777" w:rsidR="003821DB" w:rsidRPr="002316B5" w:rsidRDefault="00F33183" w:rsidP="003821D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3821D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1D2855E" w14:textId="77777777" w:rsidR="003821DB" w:rsidRPr="001E1888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4534569" w14:textId="77777777" w:rsidR="003821DB" w:rsidRPr="001E1888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99A93F3" w14:textId="77777777" w:rsidR="003821DB" w:rsidRPr="001E1888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A2AC412" w14:textId="77777777" w:rsidR="003821DB" w:rsidRPr="001E1888" w:rsidRDefault="003821DB" w:rsidP="003821D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4.6pt;width:148.5pt;height:19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GOA7bhAAAADAEAAA8AAABkcnMvZG93bnJldi54&#10;bWxMj8FOg0AQhu8mvsNmTLy1SwkiIEtjGj14MrZeelvYEbDsLGG3LfbpHU/1OP98+eebcj3bQZxw&#10;8r0jBatlBAKpcaanVsHn7nWRgfBBk9GDI1Twgx7W1e1NqQvjzvSBp21oBZeQL7SCLoSxkNI3HVrt&#10;l25E4t2Xm6wOPE6tNJM+c7kdZBxFqbS6J77Q6RE3HTaH7dEqeNtP7y97H11cXIfNd3Nwu4tMlLq/&#10;m5+fQAScwxWGP31Wh4qdanck48WgIM2SnFEFiyTNYxCM5NmKo5qj7OERZFXK/09Uv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RjgO24QAAAAwBAAAPAAAAAAAAAAAAAAAAAEkEAABk&#10;cnMvZG93bnJldi54bWxQSwUGAAAAAAQABADzAAAAVwUAAAAA&#10;" stroked="f">
              <v:textbox inset=",0,,0">
                <w:txbxContent>
                  <w:p w14:paraId="646671BF" w14:textId="77777777" w:rsidR="003821DB" w:rsidRPr="002316B5" w:rsidRDefault="003821DB" w:rsidP="003821D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9268F97" w14:textId="77777777" w:rsidR="003821DB" w:rsidRPr="00073D11" w:rsidRDefault="003821DB" w:rsidP="003821D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75F8093" w14:textId="77777777" w:rsidR="003821DB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5D476BF" w14:textId="77777777" w:rsidR="003821DB" w:rsidRDefault="003821DB" w:rsidP="003821D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2DC5414" w14:textId="77777777" w:rsidR="003821DB" w:rsidRPr="002316B5" w:rsidRDefault="003821DB" w:rsidP="003821D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992632C" w14:textId="77777777" w:rsidR="003821DB" w:rsidRPr="002316B5" w:rsidRDefault="003821DB" w:rsidP="003821D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FF37C02" w14:textId="77777777" w:rsidR="003821DB" w:rsidRPr="002316B5" w:rsidRDefault="003821DB" w:rsidP="003821D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AE91738" w14:textId="77777777" w:rsidR="003821DB" w:rsidRPr="002316B5" w:rsidRDefault="00F33183" w:rsidP="003821D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3821D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B2C858D" w14:textId="77777777" w:rsidR="003821DB" w:rsidRPr="002316B5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60C53A2" w14:textId="77777777" w:rsidR="003821DB" w:rsidRPr="002316B5" w:rsidRDefault="003821DB" w:rsidP="003821D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1F1266D" w14:textId="77777777" w:rsidR="003821DB" w:rsidRPr="00607EE4" w:rsidRDefault="003821DB" w:rsidP="003821D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B5BDC65" w14:textId="77777777" w:rsidR="003821DB" w:rsidRPr="002316B5" w:rsidRDefault="003821DB" w:rsidP="003821D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E22DC64" w14:textId="77777777" w:rsidR="003821DB" w:rsidRPr="002316B5" w:rsidRDefault="003821DB" w:rsidP="003821D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A6DD008" w14:textId="77777777" w:rsidR="003821DB" w:rsidRPr="002316B5" w:rsidRDefault="00F33183" w:rsidP="003821D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3821D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1D2855E" w14:textId="77777777" w:rsidR="003821DB" w:rsidRPr="001E1888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4534569" w14:textId="77777777" w:rsidR="003821DB" w:rsidRPr="001E1888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99A93F3" w14:textId="77777777" w:rsidR="003821DB" w:rsidRPr="001E1888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A2AC412" w14:textId="77777777" w:rsidR="003821DB" w:rsidRPr="001E1888" w:rsidRDefault="003821DB" w:rsidP="003821D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99E3" w14:textId="77777777" w:rsidR="00FB566F" w:rsidRDefault="00FB566F" w:rsidP="00784C57">
      <w:pPr>
        <w:spacing w:after="0" w:line="240" w:lineRule="auto"/>
      </w:pPr>
      <w:r>
        <w:separator/>
      </w:r>
    </w:p>
  </w:footnote>
  <w:footnote w:type="continuationSeparator" w:id="0">
    <w:p w14:paraId="4662208C" w14:textId="77777777" w:rsidR="00FB566F" w:rsidRDefault="00FB566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9F89819" w14:textId="77777777" w:rsidR="003821DB" w:rsidRPr="00816DC4" w:rsidRDefault="003821DB" w:rsidP="003821D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3BCBAD7" w14:textId="55A3414B" w:rsidR="00660943" w:rsidRDefault="00660943" w:rsidP="00660943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® 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推出适用于汽车外饰应用的创新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化合物系列</w:t>
          </w:r>
        </w:p>
        <w:p w14:paraId="387FBE51" w14:textId="2A58C896" w:rsidR="003821DB" w:rsidRPr="002B7CE1" w:rsidRDefault="003821DB" w:rsidP="003821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9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7B4F661" w:rsidR="00502615" w:rsidRPr="00073D11" w:rsidRDefault="003821DB" w:rsidP="003821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A7EE378" w14:textId="77777777" w:rsidR="003821DB" w:rsidRPr="00816DC4" w:rsidRDefault="003821DB" w:rsidP="003821D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A8D8E92" w14:textId="77777777" w:rsidR="00660943" w:rsidRDefault="00660943" w:rsidP="003821DB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® 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推出适用于汽车外饰应用的创新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660943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化合物系列</w:t>
          </w:r>
        </w:p>
        <w:p w14:paraId="5D7A1A49" w14:textId="70CB83D6" w:rsidR="003821DB" w:rsidRPr="002B7CE1" w:rsidRDefault="003821DB" w:rsidP="003821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9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304F40C8" w:rsidR="003C4170" w:rsidRPr="00073D11" w:rsidRDefault="003821DB" w:rsidP="003821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8D7EAE8" w:rsidR="003C4170" w:rsidRPr="00502615" w:rsidRDefault="003821DB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30BB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21D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6906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0943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4B49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6E80"/>
    <w:rsid w:val="00D37E66"/>
    <w:rsid w:val="00D41761"/>
    <w:rsid w:val="00D41BB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025"/>
    <w:rsid w:val="00F217EF"/>
    <w:rsid w:val="00F24EA1"/>
    <w:rsid w:val="00F26BC9"/>
    <w:rsid w:val="00F33088"/>
    <w:rsid w:val="00F33183"/>
    <w:rsid w:val="00F42FD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03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7%AF%E6%9F%8F%E8%83%B6%E5%AE%9D%C2%AE%E4%B8%BA%E5%AF%BC%E8%88%AA%E8%AE%BE%E5%A4%87%E5%A2%9E%E6%B7%BB%E6%96%B0%E5%8A%9F%E8%83%BD%E5%92%8C%E8%AE%BE%E8%AE%A1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6%B1%BD%E8%BD%A6%E5%A4%96%E9%A5%B0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5%8F%91%E5%B1%95%E7%8E%AF%E4%BF%9D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8d3818be-6f21-4c29-ab13-78e30dc982d3"/>
    <ds:schemaRef ds:uri="b0aac98f-77e3-488e-b1d0-e526279ba76f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2023-08-24T09:58:00Z</dcterms:created>
  <dcterms:modified xsi:type="dcterms:W3CDTF">2023-08-30T09:24:00Z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