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55073" w14:textId="6184A6C3" w:rsidR="00965ABF" w:rsidRPr="00965ABF" w:rsidRDefault="00965ABF" w:rsidP="000677C4">
      <w:pPr>
        <w:spacing w:after="0" w:line="360" w:lineRule="auto"/>
        <w:ind w:right="1703"/>
        <w:jc w:val="both"/>
        <w:rPr>
          <w:rFonts w:ascii="Arial" w:hAnsi="Arial" w:cs="Arial"/>
          <w:b/>
          <w:bCs/>
          <w:sz w:val="24"/>
          <w:szCs w:val="24"/>
        </w:rPr>
      </w:pPr>
      <w:r w:rsidRPr="00965ABF">
        <w:rPr>
          <w:rFonts w:ascii="Arial" w:hAnsi="Arial" w:cs="Arial"/>
          <w:b/>
          <w:bCs/>
          <w:sz w:val="24"/>
          <w:szCs w:val="24"/>
        </w:rPr>
        <w:t>Pharmaceutical packaging in top form with TPEs</w:t>
      </w:r>
    </w:p>
    <w:p w14:paraId="512C496E" w14:textId="77777777" w:rsidR="00965ABF" w:rsidRPr="00965ABF" w:rsidRDefault="00965ABF" w:rsidP="000677C4">
      <w:pPr>
        <w:spacing w:after="0" w:line="360" w:lineRule="auto"/>
        <w:ind w:right="1703"/>
        <w:jc w:val="both"/>
        <w:rPr>
          <w:rFonts w:ascii="Arial" w:hAnsi="Arial" w:cs="Arial"/>
          <w:b/>
          <w:bCs/>
          <w:sz w:val="20"/>
          <w:szCs w:val="20"/>
        </w:rPr>
      </w:pPr>
      <w:r w:rsidRPr="00965ABF">
        <w:rPr>
          <w:rFonts w:ascii="Arial" w:hAnsi="Arial" w:cs="Arial"/>
          <w:b/>
          <w:bCs/>
          <w:sz w:val="20"/>
          <w:szCs w:val="20"/>
        </w:rPr>
        <w:t>KRAIBURG TPE, a recognized global TPE manufacturer in superior TPE compounds, has packaged its THERMOLAST</w:t>
      </w:r>
      <w:r w:rsidRPr="00CE6086">
        <w:rPr>
          <w:rFonts w:ascii="Arial" w:hAnsi="Arial" w:cs="Arial"/>
          <w:b/>
          <w:bCs/>
          <w:sz w:val="20"/>
          <w:szCs w:val="20"/>
          <w:vertAlign w:val="superscript"/>
        </w:rPr>
        <w:t>®</w:t>
      </w:r>
      <w:r w:rsidRPr="00965ABF">
        <w:rPr>
          <w:rFonts w:ascii="Arial" w:hAnsi="Arial" w:cs="Arial"/>
          <w:b/>
          <w:bCs/>
          <w:sz w:val="20"/>
          <w:szCs w:val="20"/>
        </w:rPr>
        <w:t xml:space="preserve"> M TPE compounds for pharmaceutical packaging applications.</w:t>
      </w:r>
    </w:p>
    <w:p w14:paraId="2B09F254" w14:textId="77777777" w:rsidR="00965ABF" w:rsidRPr="00965ABF" w:rsidRDefault="00965ABF" w:rsidP="000677C4">
      <w:pPr>
        <w:spacing w:after="0" w:line="360" w:lineRule="auto"/>
        <w:ind w:right="1703"/>
        <w:jc w:val="both"/>
        <w:rPr>
          <w:rFonts w:ascii="Arial" w:hAnsi="Arial" w:cs="Arial"/>
          <w:sz w:val="20"/>
          <w:szCs w:val="20"/>
        </w:rPr>
      </w:pPr>
    </w:p>
    <w:p w14:paraId="15CB91D2" w14:textId="701BDA95" w:rsidR="001F4135" w:rsidRPr="00BD4B03" w:rsidRDefault="00965ABF" w:rsidP="000677C4">
      <w:pPr>
        <w:spacing w:after="0" w:line="360" w:lineRule="auto"/>
        <w:ind w:right="1703"/>
        <w:jc w:val="both"/>
        <w:rPr>
          <w:rFonts w:ascii="Arial" w:hAnsi="Arial" w:cs="Arial"/>
          <w:sz w:val="20"/>
          <w:szCs w:val="20"/>
        </w:rPr>
      </w:pPr>
      <w:r w:rsidRPr="00965ABF">
        <w:rPr>
          <w:rFonts w:ascii="Arial" w:hAnsi="Arial" w:cs="Arial"/>
          <w:sz w:val="20"/>
          <w:szCs w:val="20"/>
        </w:rPr>
        <w:t xml:space="preserve">Product shelf-life has always been the priority in the development of packaging materials. For pharmaceutical products, it is a vital feature to protect against biological contamination while maintaining the quality of the product until it reaches the consumer. Thus, the material used for pharmaceutical packaging has to meet </w:t>
      </w:r>
      <w:r w:rsidR="00841E4F" w:rsidRPr="00BD4B03">
        <w:rPr>
          <w:rFonts w:ascii="Arial" w:hAnsi="Arial" w:cs="Arial"/>
          <w:sz w:val="20"/>
          <w:szCs w:val="20"/>
        </w:rPr>
        <w:t>requirements</w:t>
      </w:r>
      <w:r w:rsidRPr="00BD4B03">
        <w:rPr>
          <w:rFonts w:ascii="Arial" w:hAnsi="Arial" w:cs="Arial"/>
          <w:sz w:val="20"/>
          <w:szCs w:val="20"/>
        </w:rPr>
        <w:t xml:space="preserve"> such as provide protection against light, heat, and moisture as well as ensure that there is no chemical reaction with the packaged drug.</w:t>
      </w:r>
    </w:p>
    <w:p w14:paraId="56665F15" w14:textId="305A81DF" w:rsidR="00E86ECB" w:rsidRPr="00BD4B03" w:rsidRDefault="00E86ECB" w:rsidP="000677C4">
      <w:pPr>
        <w:spacing w:after="0" w:line="360" w:lineRule="auto"/>
        <w:ind w:right="1703"/>
        <w:jc w:val="both"/>
        <w:rPr>
          <w:rFonts w:ascii="Arial" w:hAnsi="Arial" w:cs="Arial"/>
          <w:sz w:val="20"/>
          <w:szCs w:val="20"/>
        </w:rPr>
      </w:pPr>
    </w:p>
    <w:p w14:paraId="5CB8A6FD" w14:textId="7C713D47" w:rsidR="00E86ECB" w:rsidRPr="00E86ECB" w:rsidRDefault="00E86ECB" w:rsidP="000677C4">
      <w:pPr>
        <w:spacing w:after="0" w:line="360" w:lineRule="auto"/>
        <w:ind w:right="1703"/>
        <w:jc w:val="both"/>
        <w:rPr>
          <w:rFonts w:ascii="Arial" w:hAnsi="Arial" w:cs="Arial"/>
          <w:sz w:val="20"/>
          <w:szCs w:val="20"/>
        </w:rPr>
      </w:pPr>
      <w:r w:rsidRPr="00BD4B03">
        <w:rPr>
          <w:rFonts w:ascii="Arial" w:hAnsi="Arial" w:cs="Arial"/>
          <w:sz w:val="20"/>
          <w:szCs w:val="20"/>
        </w:rPr>
        <w:t xml:space="preserve">Furthermore, the materials used in pharmaceutical packaging have </w:t>
      </w:r>
      <w:r w:rsidR="003112AE" w:rsidRPr="00BD4B03">
        <w:rPr>
          <w:rFonts w:ascii="Arial" w:hAnsi="Arial" w:cs="Arial"/>
          <w:sz w:val="20"/>
          <w:szCs w:val="20"/>
        </w:rPr>
        <w:t xml:space="preserve">to </w:t>
      </w:r>
      <w:r w:rsidRPr="00BD4B03">
        <w:rPr>
          <w:rFonts w:ascii="Arial" w:hAnsi="Arial" w:cs="Arial"/>
          <w:sz w:val="20"/>
          <w:szCs w:val="20"/>
        </w:rPr>
        <w:t>allow for design flexibility and not add extra weight to the packaging,</w:t>
      </w:r>
      <w:r w:rsidRPr="00E86ECB">
        <w:rPr>
          <w:rFonts w:ascii="Arial" w:hAnsi="Arial" w:cs="Arial"/>
          <w:sz w:val="20"/>
          <w:szCs w:val="20"/>
        </w:rPr>
        <w:t xml:space="preserve"> for easy handling and storage. </w:t>
      </w:r>
    </w:p>
    <w:p w14:paraId="32EB1F76" w14:textId="77777777" w:rsidR="00E86ECB" w:rsidRPr="00E86ECB" w:rsidRDefault="00E86ECB" w:rsidP="00E86ECB">
      <w:pPr>
        <w:spacing w:after="0" w:line="360" w:lineRule="auto"/>
        <w:ind w:right="1523"/>
        <w:jc w:val="both"/>
        <w:rPr>
          <w:rFonts w:ascii="Arial" w:hAnsi="Arial" w:cs="Arial"/>
          <w:sz w:val="20"/>
          <w:szCs w:val="20"/>
        </w:rPr>
      </w:pPr>
    </w:p>
    <w:p w14:paraId="0122CCC2" w14:textId="0D588A65" w:rsidR="00E86ECB" w:rsidRPr="00E86ECB" w:rsidRDefault="00E86ECB" w:rsidP="000677C4">
      <w:pPr>
        <w:spacing w:after="0" w:line="360" w:lineRule="auto"/>
        <w:ind w:right="1703"/>
        <w:jc w:val="both"/>
        <w:rPr>
          <w:rFonts w:ascii="Arial" w:hAnsi="Arial" w:cs="Arial"/>
          <w:sz w:val="20"/>
          <w:szCs w:val="20"/>
        </w:rPr>
      </w:pPr>
      <w:r w:rsidRPr="00E86ECB">
        <w:rPr>
          <w:rFonts w:ascii="Arial" w:hAnsi="Arial" w:cs="Arial"/>
          <w:sz w:val="20"/>
          <w:szCs w:val="20"/>
        </w:rPr>
        <w:t xml:space="preserve">The use of polymer materials such as thermoplastic elastomers (TPEs) has been an important milestone in the development of pharmaceutical packaging as they render the required properties, such as excellent barrier protection against UV light as well as feature high impact strength and durability. </w:t>
      </w:r>
    </w:p>
    <w:p w14:paraId="2F15EE9E" w14:textId="77777777" w:rsidR="00E86ECB" w:rsidRPr="00E86ECB" w:rsidRDefault="00E86ECB" w:rsidP="000677C4">
      <w:pPr>
        <w:spacing w:after="0" w:line="360" w:lineRule="auto"/>
        <w:ind w:right="1703"/>
        <w:jc w:val="both"/>
        <w:rPr>
          <w:rFonts w:ascii="Arial" w:hAnsi="Arial" w:cs="Arial"/>
          <w:sz w:val="20"/>
          <w:szCs w:val="20"/>
        </w:rPr>
      </w:pPr>
    </w:p>
    <w:p w14:paraId="1B35084E" w14:textId="381C339A" w:rsidR="00E86ECB" w:rsidRDefault="00E86ECB" w:rsidP="000677C4">
      <w:pPr>
        <w:spacing w:after="0" w:line="360" w:lineRule="auto"/>
        <w:ind w:right="1703"/>
        <w:jc w:val="both"/>
        <w:rPr>
          <w:rFonts w:ascii="Arial" w:hAnsi="Arial" w:cs="Arial"/>
          <w:sz w:val="20"/>
          <w:szCs w:val="20"/>
        </w:rPr>
      </w:pPr>
      <w:r w:rsidRPr="00E86ECB">
        <w:rPr>
          <w:rFonts w:ascii="Arial" w:hAnsi="Arial" w:cs="Arial"/>
          <w:sz w:val="20"/>
          <w:szCs w:val="20"/>
        </w:rPr>
        <w:t>Meeting these requirements, KRAIBURG TPE, a global TPE manufacturer of a wide range of thermoplastic elastomer products and custom solutions for multiple industries, offers its THERMOLAST</w:t>
      </w:r>
      <w:r w:rsidRPr="00CE6086">
        <w:rPr>
          <w:rFonts w:ascii="Arial" w:hAnsi="Arial" w:cs="Arial"/>
          <w:sz w:val="20"/>
          <w:szCs w:val="20"/>
          <w:vertAlign w:val="superscript"/>
        </w:rPr>
        <w:t>®</w:t>
      </w:r>
      <w:r w:rsidRPr="00E86ECB">
        <w:rPr>
          <w:rFonts w:ascii="Arial" w:hAnsi="Arial" w:cs="Arial"/>
          <w:sz w:val="20"/>
          <w:szCs w:val="20"/>
        </w:rPr>
        <w:t xml:space="preserve"> M </w:t>
      </w:r>
      <w:r w:rsidR="0078424C">
        <w:rPr>
          <w:rFonts w:ascii="Arial" w:hAnsi="Arial" w:cs="Arial" w:hint="eastAsia"/>
          <w:sz w:val="20"/>
          <w:szCs w:val="20"/>
          <w:lang w:eastAsia="zh-CN"/>
        </w:rPr>
        <w:t>TPE</w:t>
      </w:r>
      <w:r w:rsidR="0078424C">
        <w:rPr>
          <w:rFonts w:ascii="Arial" w:hAnsi="Arial" w:cs="Arial"/>
          <w:sz w:val="20"/>
          <w:szCs w:val="20"/>
          <w:lang w:val="en-SG"/>
        </w:rPr>
        <w:t xml:space="preserve"> compounds</w:t>
      </w:r>
      <w:r w:rsidRPr="00E86ECB">
        <w:rPr>
          <w:rFonts w:ascii="Arial" w:hAnsi="Arial" w:cs="Arial"/>
          <w:sz w:val="20"/>
          <w:szCs w:val="20"/>
        </w:rPr>
        <w:t>. This is specially developed for the medical and pharmaceutical industry and assures the specifications required for pharmaceutical packaging. The series meets the medical grade plastics international standards set in the USP Class VI, ISO 10993-4 (</w:t>
      </w:r>
      <w:proofErr w:type="spellStart"/>
      <w:r w:rsidRPr="00E86ECB">
        <w:rPr>
          <w:rFonts w:ascii="Arial" w:hAnsi="Arial" w:cs="Arial"/>
          <w:sz w:val="20"/>
          <w:szCs w:val="20"/>
        </w:rPr>
        <w:t>haemolysis</w:t>
      </w:r>
      <w:proofErr w:type="spellEnd"/>
      <w:r w:rsidRPr="00E86ECB">
        <w:rPr>
          <w:rFonts w:ascii="Arial" w:hAnsi="Arial" w:cs="Arial"/>
          <w:sz w:val="20"/>
          <w:szCs w:val="20"/>
        </w:rPr>
        <w:t xml:space="preserve">), ISO 10993-5 (cytotoxicity), ISO </w:t>
      </w:r>
      <w:r w:rsidRPr="00E86ECB">
        <w:rPr>
          <w:rFonts w:ascii="Arial" w:hAnsi="Arial" w:cs="Arial"/>
          <w:sz w:val="20"/>
          <w:szCs w:val="20"/>
        </w:rPr>
        <w:lastRenderedPageBreak/>
        <w:t>10993-10 (intracutaneous irritations) and ISO 10993-11 (acute system toxicity).</w:t>
      </w:r>
    </w:p>
    <w:p w14:paraId="0EB57D78" w14:textId="46C59BA4" w:rsidR="003112AE" w:rsidRDefault="00841E4F" w:rsidP="00847F93">
      <w:pPr>
        <w:spacing w:after="0" w:line="360" w:lineRule="auto"/>
        <w:ind w:right="1523"/>
        <w:jc w:val="both"/>
        <w:rPr>
          <w:rFonts w:ascii="Arial" w:hAnsi="Arial" w:cs="Arial"/>
          <w:b/>
          <w:bCs/>
          <w:sz w:val="20"/>
          <w:szCs w:val="20"/>
        </w:rPr>
      </w:pPr>
      <w:r w:rsidRPr="00BD4B03">
        <w:rPr>
          <w:rFonts w:ascii="Arial" w:hAnsi="Arial" w:cs="Arial"/>
          <w:b/>
          <w:bCs/>
          <w:sz w:val="20"/>
          <w:szCs w:val="20"/>
        </w:rPr>
        <w:t>Antimicrobial properties</w:t>
      </w:r>
      <w:r w:rsidR="003112AE" w:rsidRPr="00BD4B03">
        <w:rPr>
          <w:rFonts w:ascii="Arial" w:hAnsi="Arial" w:cs="Arial"/>
          <w:b/>
          <w:bCs/>
          <w:sz w:val="20"/>
          <w:szCs w:val="20"/>
        </w:rPr>
        <w:t xml:space="preserve"> of THERMOLAST</w:t>
      </w:r>
      <w:r w:rsidR="003112AE" w:rsidRPr="00BD4B03">
        <w:rPr>
          <w:rFonts w:ascii="Arial" w:hAnsi="Arial" w:cs="Arial"/>
          <w:b/>
          <w:bCs/>
          <w:sz w:val="20"/>
          <w:szCs w:val="20"/>
          <w:vertAlign w:val="superscript"/>
        </w:rPr>
        <w:t>®</w:t>
      </w:r>
      <w:r w:rsidR="003112AE" w:rsidRPr="00BD4B03">
        <w:rPr>
          <w:rFonts w:ascii="Arial" w:hAnsi="Arial" w:cs="Arial"/>
          <w:b/>
          <w:bCs/>
          <w:sz w:val="20"/>
          <w:szCs w:val="20"/>
        </w:rPr>
        <w:t xml:space="preserve"> M</w:t>
      </w:r>
    </w:p>
    <w:p w14:paraId="7B77B420" w14:textId="6EA3AD7A" w:rsidR="00847F93" w:rsidRPr="00847F93" w:rsidRDefault="00847F93" w:rsidP="00847F93">
      <w:pPr>
        <w:spacing w:after="0" w:line="360" w:lineRule="auto"/>
        <w:ind w:right="1523"/>
        <w:jc w:val="both"/>
        <w:rPr>
          <w:rFonts w:ascii="Arial" w:hAnsi="Arial" w:cs="Arial"/>
          <w:sz w:val="20"/>
          <w:szCs w:val="20"/>
        </w:rPr>
      </w:pPr>
      <w:r w:rsidRPr="00847F93">
        <w:rPr>
          <w:rFonts w:ascii="Arial" w:hAnsi="Arial" w:cs="Arial"/>
          <w:sz w:val="20"/>
          <w:szCs w:val="20"/>
        </w:rPr>
        <w:t>Biological contaminants are a major cause of spoilage of pharmaceutical products. The advantage with THERMOLAST</w:t>
      </w:r>
      <w:r w:rsidRPr="00CE6086">
        <w:rPr>
          <w:rFonts w:ascii="Arial" w:hAnsi="Arial" w:cs="Arial"/>
          <w:sz w:val="20"/>
          <w:szCs w:val="20"/>
          <w:vertAlign w:val="superscript"/>
        </w:rPr>
        <w:t>®</w:t>
      </w:r>
      <w:r w:rsidRPr="00847F93">
        <w:rPr>
          <w:rFonts w:ascii="Arial" w:hAnsi="Arial" w:cs="Arial"/>
          <w:sz w:val="20"/>
          <w:szCs w:val="20"/>
        </w:rPr>
        <w:t xml:space="preserve"> M </w:t>
      </w:r>
      <w:r w:rsidR="0078424C">
        <w:rPr>
          <w:rFonts w:ascii="Arial" w:hAnsi="Arial" w:cs="Arial"/>
          <w:sz w:val="20"/>
          <w:szCs w:val="20"/>
        </w:rPr>
        <w:t xml:space="preserve">TPE </w:t>
      </w:r>
      <w:r w:rsidRPr="00847F93">
        <w:rPr>
          <w:rFonts w:ascii="Arial" w:hAnsi="Arial" w:cs="Arial"/>
          <w:sz w:val="20"/>
          <w:szCs w:val="20"/>
        </w:rPr>
        <w:t xml:space="preserve">compounds is that they can be sterilized using methods such as </w:t>
      </w:r>
      <w:proofErr w:type="spellStart"/>
      <w:r w:rsidRPr="00847F93">
        <w:rPr>
          <w:rFonts w:ascii="Arial" w:hAnsi="Arial" w:cs="Arial"/>
          <w:sz w:val="20"/>
          <w:szCs w:val="20"/>
        </w:rPr>
        <w:t>EtO</w:t>
      </w:r>
      <w:proofErr w:type="spellEnd"/>
      <w:r w:rsidRPr="00847F93">
        <w:rPr>
          <w:rFonts w:ascii="Arial" w:hAnsi="Arial" w:cs="Arial"/>
          <w:sz w:val="20"/>
          <w:szCs w:val="20"/>
        </w:rPr>
        <w:t xml:space="preserve"> gas, superheated steam (134°C), γ-gamma ray treatment (2 x 35 </w:t>
      </w:r>
      <w:proofErr w:type="spellStart"/>
      <w:r w:rsidRPr="00847F93">
        <w:rPr>
          <w:rFonts w:ascii="Arial" w:hAnsi="Arial" w:cs="Arial"/>
          <w:sz w:val="20"/>
          <w:szCs w:val="20"/>
        </w:rPr>
        <w:t>kGy</w:t>
      </w:r>
      <w:proofErr w:type="spellEnd"/>
      <w:r w:rsidRPr="00847F93">
        <w:rPr>
          <w:rFonts w:ascii="Arial" w:hAnsi="Arial" w:cs="Arial"/>
          <w:sz w:val="20"/>
          <w:szCs w:val="20"/>
        </w:rPr>
        <w:t xml:space="preserve">), β-ray (electron beam) treatment (2 x 35 </w:t>
      </w:r>
      <w:proofErr w:type="spellStart"/>
      <w:r w:rsidRPr="00847F93">
        <w:rPr>
          <w:rFonts w:ascii="Arial" w:hAnsi="Arial" w:cs="Arial"/>
          <w:sz w:val="20"/>
          <w:szCs w:val="20"/>
        </w:rPr>
        <w:t>kGy</w:t>
      </w:r>
      <w:proofErr w:type="spellEnd"/>
      <w:r w:rsidRPr="00847F93">
        <w:rPr>
          <w:rFonts w:ascii="Arial" w:hAnsi="Arial" w:cs="Arial"/>
          <w:sz w:val="20"/>
          <w:szCs w:val="20"/>
        </w:rPr>
        <w:t>).</w:t>
      </w:r>
      <w:r w:rsidR="006572C9">
        <w:rPr>
          <w:rFonts w:ascii="Arial" w:hAnsi="Arial" w:cs="Arial"/>
          <w:sz w:val="20"/>
          <w:szCs w:val="20"/>
        </w:rPr>
        <w:t xml:space="preserve"> T</w:t>
      </w:r>
      <w:r w:rsidRPr="00847F93">
        <w:rPr>
          <w:rFonts w:ascii="Arial" w:hAnsi="Arial" w:cs="Arial"/>
          <w:sz w:val="20"/>
          <w:szCs w:val="20"/>
        </w:rPr>
        <w:t xml:space="preserve">hus, these compounds are suited for applications like seals and valves in bottles for pharmaceutical </w:t>
      </w:r>
      <w:r w:rsidR="00CE6086" w:rsidRPr="00847F93">
        <w:rPr>
          <w:rFonts w:ascii="Arial" w:hAnsi="Arial" w:cs="Arial"/>
          <w:sz w:val="20"/>
          <w:szCs w:val="20"/>
        </w:rPr>
        <w:t>storage,</w:t>
      </w:r>
      <w:r w:rsidRPr="00847F93">
        <w:rPr>
          <w:rFonts w:ascii="Arial" w:hAnsi="Arial" w:cs="Arial"/>
          <w:sz w:val="20"/>
          <w:szCs w:val="20"/>
        </w:rPr>
        <w:t xml:space="preserve"> as well as for closures, septum, caps, infusion caps and ampoules in pharmaceutical packaging.</w:t>
      </w:r>
      <w:r w:rsidR="006572C9">
        <w:rPr>
          <w:rFonts w:ascii="Arial" w:hAnsi="Arial" w:cs="Arial"/>
          <w:sz w:val="20"/>
          <w:szCs w:val="20"/>
        </w:rPr>
        <w:t xml:space="preserve"> </w:t>
      </w:r>
      <w:r w:rsidRPr="00847F93">
        <w:rPr>
          <w:rFonts w:ascii="Arial" w:hAnsi="Arial" w:cs="Arial"/>
          <w:sz w:val="20"/>
          <w:szCs w:val="20"/>
        </w:rPr>
        <w:t xml:space="preserve">The compounds can also be used in applications related to the process of transfer and filling in pharmaceutical industries. </w:t>
      </w:r>
    </w:p>
    <w:p w14:paraId="3A461AC6" w14:textId="77777777" w:rsidR="00847F93" w:rsidRPr="00847F93" w:rsidRDefault="00847F93" w:rsidP="00847F93">
      <w:pPr>
        <w:spacing w:after="0" w:line="360" w:lineRule="auto"/>
        <w:ind w:right="1523"/>
        <w:jc w:val="both"/>
        <w:rPr>
          <w:rFonts w:ascii="Arial" w:hAnsi="Arial" w:cs="Arial"/>
          <w:sz w:val="20"/>
          <w:szCs w:val="20"/>
        </w:rPr>
      </w:pPr>
    </w:p>
    <w:p w14:paraId="302722CB" w14:textId="1BAEE263" w:rsidR="00847F93" w:rsidRPr="00847F93" w:rsidRDefault="00847F93" w:rsidP="00847F93">
      <w:pPr>
        <w:spacing w:after="0" w:line="360" w:lineRule="auto"/>
        <w:ind w:right="1523"/>
        <w:jc w:val="both"/>
        <w:rPr>
          <w:rFonts w:ascii="Arial" w:hAnsi="Arial" w:cs="Arial"/>
          <w:b/>
          <w:bCs/>
          <w:sz w:val="20"/>
          <w:szCs w:val="20"/>
        </w:rPr>
      </w:pPr>
      <w:r w:rsidRPr="00847F93">
        <w:rPr>
          <w:rFonts w:ascii="Arial" w:hAnsi="Arial" w:cs="Arial"/>
          <w:b/>
          <w:bCs/>
          <w:sz w:val="20"/>
          <w:szCs w:val="20"/>
        </w:rPr>
        <w:t>Material performance for cost</w:t>
      </w:r>
    </w:p>
    <w:p w14:paraId="3F2E37E3" w14:textId="62B1C824" w:rsidR="00CE6086" w:rsidRDefault="00847F93" w:rsidP="00CE6086">
      <w:pPr>
        <w:spacing w:after="0" w:line="360" w:lineRule="auto"/>
        <w:ind w:right="1523"/>
        <w:jc w:val="both"/>
        <w:rPr>
          <w:rFonts w:ascii="Arial" w:hAnsi="Arial" w:cs="Arial"/>
          <w:sz w:val="20"/>
          <w:szCs w:val="20"/>
        </w:rPr>
      </w:pPr>
      <w:r w:rsidRPr="00847F93">
        <w:rPr>
          <w:rFonts w:ascii="Arial" w:hAnsi="Arial" w:cs="Arial"/>
          <w:sz w:val="20"/>
          <w:szCs w:val="20"/>
        </w:rPr>
        <w:t>The THERMOLAST</w:t>
      </w:r>
      <w:r w:rsidRPr="00CE6086">
        <w:rPr>
          <w:rFonts w:ascii="Arial" w:hAnsi="Arial" w:cs="Arial"/>
          <w:sz w:val="20"/>
          <w:szCs w:val="20"/>
          <w:vertAlign w:val="superscript"/>
        </w:rPr>
        <w:t>®</w:t>
      </w:r>
      <w:r w:rsidRPr="00847F93">
        <w:rPr>
          <w:rFonts w:ascii="Arial" w:hAnsi="Arial" w:cs="Arial"/>
          <w:sz w:val="20"/>
          <w:szCs w:val="20"/>
        </w:rPr>
        <w:t xml:space="preserve"> M </w:t>
      </w:r>
      <w:r w:rsidR="0078424C">
        <w:rPr>
          <w:rFonts w:ascii="Arial" w:hAnsi="Arial" w:cs="Arial"/>
          <w:sz w:val="20"/>
          <w:szCs w:val="20"/>
        </w:rPr>
        <w:t>TPE</w:t>
      </w:r>
      <w:r w:rsidRPr="00847F93">
        <w:rPr>
          <w:rFonts w:ascii="Arial" w:hAnsi="Arial" w:cs="Arial"/>
          <w:sz w:val="20"/>
          <w:szCs w:val="20"/>
        </w:rPr>
        <w:t xml:space="preserve"> is developed with optimum productivity and cost-effectiveness in mind. Aside from the materials’ ample range of application possibilities, other features are the cost-effective molding process and short cycle time advantage for injection and two-component injection molding and extrusion processing, which allow manufacturers to boost their productivity.</w:t>
      </w:r>
      <w:r w:rsidR="006572C9">
        <w:rPr>
          <w:rFonts w:ascii="Arial" w:hAnsi="Arial" w:cs="Arial"/>
          <w:sz w:val="20"/>
          <w:szCs w:val="20"/>
        </w:rPr>
        <w:t xml:space="preserve"> </w:t>
      </w:r>
      <w:r w:rsidRPr="00847F93">
        <w:rPr>
          <w:rFonts w:ascii="Arial" w:hAnsi="Arial" w:cs="Arial"/>
          <w:sz w:val="20"/>
          <w:szCs w:val="20"/>
        </w:rPr>
        <w:t>As well, the THERMOLAST</w:t>
      </w:r>
      <w:r w:rsidRPr="00CE6086">
        <w:rPr>
          <w:rFonts w:ascii="Arial" w:hAnsi="Arial" w:cs="Arial"/>
          <w:sz w:val="20"/>
          <w:szCs w:val="20"/>
          <w:vertAlign w:val="superscript"/>
        </w:rPr>
        <w:t>®</w:t>
      </w:r>
      <w:r w:rsidRPr="00847F93">
        <w:rPr>
          <w:rFonts w:ascii="Arial" w:hAnsi="Arial" w:cs="Arial"/>
          <w:sz w:val="20"/>
          <w:szCs w:val="20"/>
        </w:rPr>
        <w:t xml:space="preserve"> M </w:t>
      </w:r>
      <w:r w:rsidR="0078424C">
        <w:rPr>
          <w:rFonts w:ascii="Arial" w:hAnsi="Arial" w:cs="Arial"/>
          <w:sz w:val="20"/>
          <w:szCs w:val="20"/>
        </w:rPr>
        <w:t>TPE</w:t>
      </w:r>
      <w:r w:rsidRPr="00847F93">
        <w:rPr>
          <w:rFonts w:ascii="Arial" w:hAnsi="Arial" w:cs="Arial"/>
          <w:sz w:val="20"/>
          <w:szCs w:val="20"/>
        </w:rPr>
        <w:t xml:space="preserve"> </w:t>
      </w:r>
      <w:r w:rsidR="006572C9">
        <w:rPr>
          <w:rFonts w:ascii="Arial" w:hAnsi="Arial" w:cs="Arial"/>
          <w:sz w:val="20"/>
          <w:szCs w:val="20"/>
        </w:rPr>
        <w:t>show</w:t>
      </w:r>
      <w:r w:rsidRPr="00847F93">
        <w:rPr>
          <w:rFonts w:ascii="Arial" w:hAnsi="Arial" w:cs="Arial"/>
          <w:sz w:val="20"/>
          <w:szCs w:val="20"/>
        </w:rPr>
        <w:t xml:space="preserve"> excellent adhesion to </w:t>
      </w:r>
      <w:r w:rsidR="006572C9">
        <w:rPr>
          <w:rFonts w:ascii="Arial" w:hAnsi="Arial" w:cs="Arial"/>
          <w:sz w:val="20"/>
          <w:szCs w:val="20"/>
        </w:rPr>
        <w:t xml:space="preserve">various </w:t>
      </w:r>
      <w:r w:rsidRPr="00847F93">
        <w:rPr>
          <w:rFonts w:ascii="Arial" w:hAnsi="Arial" w:cs="Arial"/>
          <w:sz w:val="20"/>
          <w:szCs w:val="20"/>
        </w:rPr>
        <w:t>polymers such as PP, PE, COC, ABS, PS, PC, PET and PA.</w:t>
      </w:r>
    </w:p>
    <w:p w14:paraId="30BE309E" w14:textId="77777777" w:rsidR="00CE6086" w:rsidRDefault="00CE6086" w:rsidP="00CE6086">
      <w:pPr>
        <w:spacing w:after="0" w:line="360" w:lineRule="auto"/>
        <w:ind w:right="1523"/>
        <w:jc w:val="both"/>
        <w:rPr>
          <w:rFonts w:ascii="Arial" w:hAnsi="Arial" w:cs="Arial"/>
          <w:sz w:val="20"/>
          <w:szCs w:val="20"/>
        </w:rPr>
      </w:pPr>
    </w:p>
    <w:p w14:paraId="4E430248" w14:textId="77777777" w:rsidR="00CE6086" w:rsidRDefault="001658E6" w:rsidP="00CE6086">
      <w:pPr>
        <w:spacing w:after="0" w:line="360" w:lineRule="auto"/>
        <w:ind w:right="1523"/>
        <w:jc w:val="both"/>
        <w:rPr>
          <w:rFonts w:ascii="Arial" w:hAnsi="Arial" w:cs="Arial"/>
          <w:sz w:val="20"/>
          <w:szCs w:val="20"/>
        </w:rPr>
      </w:pPr>
      <w:r w:rsidRPr="001658E6">
        <w:rPr>
          <w:rFonts w:ascii="Arial" w:hAnsi="Arial" w:cs="Arial"/>
          <w:b/>
          <w:bCs/>
          <w:noProof/>
          <w:sz w:val="20"/>
          <w:szCs w:val="20"/>
        </w:rPr>
        <w:t>Optimum purity with the Medical Service Package</w:t>
      </w:r>
    </w:p>
    <w:p w14:paraId="77C2926F" w14:textId="77777777" w:rsidR="00DF70A7" w:rsidRDefault="001658E6" w:rsidP="00DF70A7">
      <w:pPr>
        <w:spacing w:after="0" w:line="360" w:lineRule="auto"/>
        <w:ind w:right="1523"/>
        <w:jc w:val="both"/>
        <w:rPr>
          <w:rFonts w:ascii="Arial" w:hAnsi="Arial" w:cs="Arial"/>
          <w:noProof/>
          <w:sz w:val="20"/>
          <w:szCs w:val="20"/>
        </w:rPr>
      </w:pPr>
      <w:r w:rsidRPr="001658E6">
        <w:rPr>
          <w:rFonts w:ascii="Arial" w:hAnsi="Arial" w:cs="Arial"/>
          <w:noProof/>
          <w:sz w:val="20"/>
          <w:szCs w:val="20"/>
        </w:rPr>
        <w:t xml:space="preserve">KRAIBURG TPE provides a Medical Service Package that is orientated to delivering the highest quality standards of its TPE compounds, which are </w:t>
      </w:r>
      <w:r w:rsidR="006572C9">
        <w:rPr>
          <w:rFonts w:ascii="Arial" w:hAnsi="Arial" w:cs="Arial"/>
          <w:noProof/>
          <w:sz w:val="20"/>
          <w:szCs w:val="20"/>
        </w:rPr>
        <w:t xml:space="preserve">free of intentionally added heavy metals, </w:t>
      </w:r>
      <w:r w:rsidRPr="001658E6">
        <w:rPr>
          <w:rFonts w:ascii="Arial" w:hAnsi="Arial" w:cs="Arial"/>
          <w:noProof/>
          <w:sz w:val="20"/>
          <w:szCs w:val="20"/>
        </w:rPr>
        <w:t xml:space="preserve">latex, PVC and phthalates. </w:t>
      </w:r>
    </w:p>
    <w:p w14:paraId="75E72FB7" w14:textId="77777777" w:rsidR="00DF70A7" w:rsidRDefault="00DF70A7" w:rsidP="00DF70A7">
      <w:pPr>
        <w:spacing w:after="0" w:line="360" w:lineRule="auto"/>
        <w:ind w:right="1523"/>
        <w:jc w:val="both"/>
        <w:rPr>
          <w:rFonts w:ascii="Arial" w:hAnsi="Arial" w:cs="Arial"/>
          <w:noProof/>
          <w:sz w:val="20"/>
          <w:szCs w:val="20"/>
        </w:rPr>
      </w:pPr>
    </w:p>
    <w:p w14:paraId="1E3160C7" w14:textId="77777777" w:rsidR="00DF70A7" w:rsidRDefault="001658E6" w:rsidP="00DF70A7">
      <w:pPr>
        <w:spacing w:after="0" w:line="360" w:lineRule="auto"/>
        <w:ind w:right="1523"/>
        <w:jc w:val="both"/>
        <w:rPr>
          <w:rFonts w:ascii="Arial" w:hAnsi="Arial" w:cs="Arial"/>
          <w:noProof/>
          <w:sz w:val="20"/>
          <w:szCs w:val="20"/>
        </w:rPr>
      </w:pPr>
      <w:r w:rsidRPr="001658E6">
        <w:rPr>
          <w:rFonts w:ascii="Arial" w:hAnsi="Arial" w:cs="Arial"/>
          <w:noProof/>
          <w:sz w:val="20"/>
          <w:szCs w:val="20"/>
        </w:rPr>
        <w:t xml:space="preserve">As well, the production of the compounds is permanently assigned in a separate processing unit, with the constant manufacturing process recorded in </w:t>
      </w:r>
      <w:r w:rsidR="00515101" w:rsidRPr="00BD4B03">
        <w:rPr>
          <w:rFonts w:ascii="Arial" w:hAnsi="Arial" w:cs="Arial"/>
          <w:noProof/>
          <w:sz w:val="20"/>
          <w:szCs w:val="20"/>
        </w:rPr>
        <w:t>US FDA Drug Master Files (DMF)</w:t>
      </w:r>
      <w:r w:rsidRPr="00BD4B03">
        <w:rPr>
          <w:rFonts w:ascii="Arial" w:hAnsi="Arial" w:cs="Arial"/>
          <w:noProof/>
          <w:sz w:val="20"/>
          <w:szCs w:val="20"/>
        </w:rPr>
        <w:t>.</w:t>
      </w:r>
      <w:r w:rsidRPr="001658E6">
        <w:rPr>
          <w:rFonts w:ascii="Arial" w:hAnsi="Arial" w:cs="Arial"/>
          <w:noProof/>
          <w:sz w:val="20"/>
          <w:szCs w:val="20"/>
        </w:rPr>
        <w:t xml:space="preserve"> </w:t>
      </w:r>
    </w:p>
    <w:p w14:paraId="1485D987" w14:textId="77777777" w:rsidR="00DF70A7" w:rsidRDefault="00DF70A7" w:rsidP="00DF70A7">
      <w:pPr>
        <w:spacing w:after="0" w:line="360" w:lineRule="auto"/>
        <w:ind w:right="1523"/>
        <w:jc w:val="both"/>
        <w:rPr>
          <w:rFonts w:ascii="Arial" w:hAnsi="Arial" w:cs="Arial"/>
          <w:noProof/>
          <w:sz w:val="20"/>
          <w:szCs w:val="20"/>
        </w:rPr>
      </w:pPr>
    </w:p>
    <w:p w14:paraId="47A41B06" w14:textId="675A76A1" w:rsidR="001658E6" w:rsidRDefault="001658E6" w:rsidP="00DF70A7">
      <w:pPr>
        <w:spacing w:after="0" w:line="360" w:lineRule="auto"/>
        <w:ind w:right="1523"/>
        <w:jc w:val="both"/>
        <w:rPr>
          <w:rFonts w:ascii="Arial" w:hAnsi="Arial" w:cs="Arial"/>
          <w:noProof/>
          <w:sz w:val="20"/>
          <w:szCs w:val="20"/>
        </w:rPr>
      </w:pPr>
      <w:r w:rsidRPr="001658E6">
        <w:rPr>
          <w:rFonts w:ascii="Arial" w:hAnsi="Arial" w:cs="Arial"/>
          <w:noProof/>
          <w:sz w:val="20"/>
          <w:szCs w:val="20"/>
        </w:rPr>
        <w:lastRenderedPageBreak/>
        <w:t>Furthermore, the medical service package guarantees a 24-month supply of the compounds, allowing for supply security and long-term use by pharmaceutical</w:t>
      </w:r>
      <w:r>
        <w:rPr>
          <w:rFonts w:ascii="Arial" w:hAnsi="Arial" w:cs="Arial"/>
          <w:noProof/>
          <w:sz w:val="20"/>
          <w:szCs w:val="20"/>
        </w:rPr>
        <w:t xml:space="preserve"> </w:t>
      </w:r>
      <w:r w:rsidRPr="001658E6">
        <w:rPr>
          <w:rFonts w:ascii="Arial" w:hAnsi="Arial" w:cs="Arial"/>
          <w:noProof/>
          <w:sz w:val="20"/>
          <w:szCs w:val="20"/>
        </w:rPr>
        <w:t>packaging processors.</w:t>
      </w:r>
    </w:p>
    <w:p w14:paraId="49D06D47" w14:textId="0045E174" w:rsidR="00CE6086" w:rsidRDefault="00CE6086" w:rsidP="00DF70A7">
      <w:pPr>
        <w:keepNext/>
        <w:keepLines/>
        <w:spacing w:after="0" w:line="360" w:lineRule="auto"/>
        <w:ind w:right="1701"/>
        <w:jc w:val="both"/>
        <w:rPr>
          <w:rFonts w:ascii="Arial" w:hAnsi="Arial" w:cs="Arial"/>
          <w:b/>
          <w:bCs/>
          <w:sz w:val="20"/>
          <w:szCs w:val="20"/>
          <w:lang w:bidi="ar-SA"/>
        </w:rPr>
      </w:pPr>
    </w:p>
    <w:p w14:paraId="44276F03" w14:textId="13E6D4F1" w:rsidR="00CE6086" w:rsidRDefault="00DF70A7"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1955CFDB" wp14:editId="1457EB31">
            <wp:extent cx="4900427" cy="271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05816" cy="2717610"/>
                    </a:xfrm>
                    <a:prstGeom prst="rect">
                      <a:avLst/>
                    </a:prstGeom>
                    <a:noFill/>
                    <a:ln>
                      <a:noFill/>
                    </a:ln>
                  </pic:spPr>
                </pic:pic>
              </a:graphicData>
            </a:graphic>
          </wp:inline>
        </w:drawing>
      </w:r>
    </w:p>
    <w:p w14:paraId="448950E1" w14:textId="3AE0263B"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73F771E7" w14:textId="77777777" w:rsidR="00DF70A7" w:rsidRDefault="00DF70A7" w:rsidP="003955E2">
      <w:pPr>
        <w:spacing w:after="0" w:line="360" w:lineRule="auto"/>
        <w:ind w:right="1163"/>
        <w:jc w:val="both"/>
        <w:rPr>
          <w:rFonts w:ascii="Arial" w:hAnsi="Arial" w:cs="Arial"/>
          <w:b/>
          <w:bCs/>
          <w:sz w:val="20"/>
          <w:szCs w:val="20"/>
        </w:rPr>
      </w:pPr>
    </w:p>
    <w:p w14:paraId="1223A429" w14:textId="1983E511"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32B40914" w14:textId="77777777" w:rsidR="00DF70A7" w:rsidRDefault="00DF70A7" w:rsidP="00DF70A7">
      <w:pPr>
        <w:rPr>
          <w:rFonts w:ascii="Arial" w:hAnsi="Arial" w:cs="Arial"/>
          <w:b/>
          <w:color w:val="000000" w:themeColor="text1"/>
          <w:sz w:val="20"/>
          <w:szCs w:val="20"/>
        </w:rPr>
      </w:pPr>
    </w:p>
    <w:p w14:paraId="3A340D0D" w14:textId="77777777" w:rsidR="00DF70A7" w:rsidRDefault="00DF70A7" w:rsidP="00DF70A7">
      <w:pPr>
        <w:rPr>
          <w:rFonts w:ascii="Arial" w:hAnsi="Arial" w:cs="Arial"/>
          <w:b/>
          <w:color w:val="000000" w:themeColor="text1"/>
          <w:sz w:val="20"/>
          <w:szCs w:val="20"/>
        </w:rPr>
      </w:pPr>
    </w:p>
    <w:p w14:paraId="240BDA7F" w14:textId="77777777" w:rsidR="000677C4" w:rsidRDefault="000677C4">
      <w:pPr>
        <w:rPr>
          <w:rFonts w:ascii="Arial" w:hAnsi="Arial" w:cs="Arial"/>
          <w:b/>
          <w:color w:val="000000" w:themeColor="text1"/>
          <w:sz w:val="20"/>
          <w:szCs w:val="20"/>
        </w:rPr>
      </w:pPr>
      <w:r>
        <w:rPr>
          <w:rFonts w:ascii="Arial" w:hAnsi="Arial" w:cs="Arial"/>
          <w:b/>
          <w:color w:val="000000" w:themeColor="text1"/>
          <w:sz w:val="20"/>
          <w:szCs w:val="20"/>
        </w:rPr>
        <w:br w:type="page"/>
      </w:r>
    </w:p>
    <w:p w14:paraId="6E6C9844" w14:textId="0BE67B10" w:rsidR="001C2242" w:rsidRPr="00325EA7" w:rsidRDefault="001C2242" w:rsidP="000677C4">
      <w:pPr>
        <w:spacing w:line="360" w:lineRule="auto"/>
        <w:ind w:right="1703"/>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571A49E2" w14:textId="066C4C46" w:rsidR="001C2242" w:rsidRPr="00325EA7" w:rsidRDefault="001C2242" w:rsidP="000677C4">
      <w:pPr>
        <w:spacing w:after="0" w:line="360" w:lineRule="auto"/>
        <w:ind w:right="170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AAC03" w14:textId="77777777" w:rsidR="00C57F61" w:rsidRDefault="00C57F61" w:rsidP="00784C57">
      <w:pPr>
        <w:spacing w:after="0" w:line="240" w:lineRule="auto"/>
      </w:pPr>
      <w:r>
        <w:separator/>
      </w:r>
    </w:p>
  </w:endnote>
  <w:endnote w:type="continuationSeparator" w:id="0">
    <w:p w14:paraId="61E9C8DC" w14:textId="77777777" w:rsidR="00C57F61" w:rsidRDefault="00C57F6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35FA41D">
              <wp:simplePos x="0" y="0"/>
              <wp:positionH relativeFrom="column">
                <wp:posOffset>4330065</wp:posOffset>
              </wp:positionH>
              <wp:positionV relativeFrom="paragraph">
                <wp:posOffset>-3020695</wp:posOffset>
              </wp:positionV>
              <wp:extent cx="1885950" cy="24003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0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237BB93D" w:rsidR="00EC7126" w:rsidRPr="000A52EE" w:rsidRDefault="00BD4B03" w:rsidP="00EC7126">
                          <w:pPr>
                            <w:pStyle w:val="BodyTextIndent"/>
                            <w:ind w:left="0"/>
                            <w:rPr>
                              <w:i w:val="0"/>
                              <w:sz w:val="16"/>
                              <w:szCs w:val="16"/>
                              <w:lang w:val="en-GB"/>
                            </w:rPr>
                          </w:pPr>
                          <w:r>
                            <w:rPr>
                              <w:i w:val="0"/>
                              <w:sz w:val="16"/>
                              <w:lang w:val="en-GB"/>
                            </w:rPr>
                            <w:t>Marlen Sittner</w:t>
                          </w:r>
                        </w:p>
                        <w:p w14:paraId="06D02C68" w14:textId="342A1EB4" w:rsidR="00EC7126" w:rsidRDefault="00BD4B03" w:rsidP="00EC7126">
                          <w:pPr>
                            <w:pStyle w:val="BodyTextIndent"/>
                            <w:ind w:left="0"/>
                            <w:rPr>
                              <w:i w:val="0"/>
                              <w:sz w:val="16"/>
                            </w:rPr>
                          </w:pPr>
                          <w:r>
                            <w:rPr>
                              <w:i w:val="0"/>
                              <w:sz w:val="16"/>
                            </w:rPr>
                            <w:t xml:space="preserve">Head of Digital Marketing, </w:t>
                          </w:r>
                        </w:p>
                        <w:p w14:paraId="4EE8B003" w14:textId="3EDCF42F" w:rsidR="00BD4B03" w:rsidRPr="00F54D5B" w:rsidRDefault="00BD4B03" w:rsidP="00EC7126">
                          <w:pPr>
                            <w:pStyle w:val="BodyTextIndent"/>
                            <w:ind w:left="0"/>
                            <w:rPr>
                              <w:i w:val="0"/>
                              <w:sz w:val="16"/>
                              <w:szCs w:val="16"/>
                            </w:rPr>
                          </w:pPr>
                          <w:r>
                            <w:rPr>
                              <w:i w:val="0"/>
                              <w:sz w:val="16"/>
                            </w:rPr>
                            <w:t>Team Corporate Communications</w:t>
                          </w:r>
                        </w:p>
                        <w:p w14:paraId="7B4446C1" w14:textId="7C0626E0"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BD4B03" w:rsidRPr="00BD4B03">
                            <w:rPr>
                              <w:i w:val="0"/>
                              <w:sz w:val="16"/>
                            </w:rPr>
                            <w:t>+49 8638 9810-272</w:t>
                          </w:r>
                        </w:p>
                        <w:p w14:paraId="055B4411" w14:textId="652808EA" w:rsidR="00EC7126" w:rsidRPr="00073D11" w:rsidRDefault="0030036B" w:rsidP="00EC7126">
                          <w:pPr>
                            <w:pStyle w:val="Header"/>
                            <w:spacing w:line="360" w:lineRule="auto"/>
                          </w:pPr>
                          <w:hyperlink r:id="rId1" w:history="1">
                            <w:r w:rsidR="00BD4B03" w:rsidRPr="006F1A75">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0036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37.85pt;width:148.5pt;height:1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MndAgIAAOgDAAAOAAAAZHJzL2Uyb0RvYy54bWysU9tu2zAMfR+wfxD0vtjJ0iI14hRdigwD&#10;ugvQ7gNkWbaFyaJGKbGzrx8lJ1nQvQ3zg0CR1CHPIb2+H3vDDgq9Blvy+SznTFkJtbZtyb+/7N6t&#10;OPNB2FoYsKrkR+X5/ebtm/XgCrWADkytkBGI9cXgSt6F4Ios87JTvfAzcMpSsAHsRaArtlmNYiD0&#10;3mSLPL/NBsDaIUjlPXkfpyDfJPymUTJ8bRqvAjMlp95COjGdVTyzzVoULQrXaXlqQ/xDF73Qlope&#10;oB5FEGyP+i+oXksED02YSegzaBotVeJAbOb5KzbPnXAqcSFxvLvI5P8frPxy+IZM1yW/5cyKnkb0&#10;osbAPsDIFlGdwfmCkp4dpYWR3DTlxNS7J5A/PLOw7YRt1QMiDJ0SNXU3jy+zq6cTjo8g1fAZaioj&#10;9gES0NhgH6UjMRih05SOl8nEVmQsuVrd3N1QSFJssczz93maXSaK83OHPnxU0LNolBxp9AleHJ58&#10;iO2I4pwSq3kwut5pY9IF22prkB0ErckufYnBqzRjY7KF+GxCjJ7EM1KbSIaxGk+6VVAfiTHCtHb0&#10;m5DRAf7ibKCVK7n/uReoODOfLKl2N18u446mCxl47a3OXmElQZQ8cDaZ2zDt896hbjuqMM3HwgMp&#10;3OjEPY5i6ubUL61TkuS0+nFfr+8p688PuvkNAAD//wMAUEsDBBQABgAIAAAAIQBEwhUk4QAAAAwB&#10;AAAPAAAAZHJzL2Rvd25yZXYueG1sTI/BTsMwDIbvSLxDZCRuW7ppLG1pOqEJDpwQG5fd0sa0ZY1T&#10;NdlW9vSYExz9+9Pvz8Vmcr044xg6TxoW8wQEUu1tR42Gj/3LLAURoiFrek+o4RsDbMrbm8Lk1l/o&#10;Hc+72AguoZAbDW2MQy5lqFt0Jsz9gMS7Tz86E3kcG2lHc+Fy18tlkqylMx3xhdYMuG2xPu5OTsPr&#10;YXx7PoTk6pdV3H7VR7+/ypXW93fT0yOIiFP8g+FXn9WhZKfKn8gG0WtYp4uMUQ2zlXpQIBjJVMpR&#10;xVGmFMiykP+fKH8AAAD//wMAUEsBAi0AFAAGAAgAAAAhALaDOJL+AAAA4QEAABMAAAAAAAAAAAAA&#10;AAAAAAAAAFtDb250ZW50X1R5cGVzXS54bWxQSwECLQAUAAYACAAAACEAOP0h/9YAAACUAQAACwAA&#10;AAAAAAAAAAAAAAAvAQAAX3JlbHMvLnJlbHNQSwECLQAUAAYACAAAACEAqaTJ3QICAADoAwAADgAA&#10;AAAAAAAAAAAAAAAuAgAAZHJzL2Uyb0RvYy54bWxQSwECLQAUAAYACAAAACEARMIVJO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237BB93D" w:rsidR="00EC7126" w:rsidRPr="000A52EE" w:rsidRDefault="00BD4B03" w:rsidP="00EC7126">
                    <w:pPr>
                      <w:pStyle w:val="BodyTextIndent"/>
                      <w:ind w:left="0"/>
                      <w:rPr>
                        <w:i w:val="0"/>
                        <w:sz w:val="16"/>
                        <w:szCs w:val="16"/>
                        <w:lang w:val="en-GB"/>
                      </w:rPr>
                    </w:pPr>
                    <w:r>
                      <w:rPr>
                        <w:i w:val="0"/>
                        <w:sz w:val="16"/>
                        <w:lang w:val="en-GB"/>
                      </w:rPr>
                      <w:t>Marlen Sittner</w:t>
                    </w:r>
                  </w:p>
                  <w:p w14:paraId="06D02C68" w14:textId="342A1EB4" w:rsidR="00EC7126" w:rsidRDefault="00BD4B03" w:rsidP="00EC7126">
                    <w:pPr>
                      <w:pStyle w:val="BodyTextIndent"/>
                      <w:ind w:left="0"/>
                      <w:rPr>
                        <w:i w:val="0"/>
                        <w:sz w:val="16"/>
                      </w:rPr>
                    </w:pPr>
                    <w:r>
                      <w:rPr>
                        <w:i w:val="0"/>
                        <w:sz w:val="16"/>
                      </w:rPr>
                      <w:t xml:space="preserve">Head of Digital Marketing, </w:t>
                    </w:r>
                  </w:p>
                  <w:p w14:paraId="4EE8B003" w14:textId="3EDCF42F" w:rsidR="00BD4B03" w:rsidRPr="00F54D5B" w:rsidRDefault="00BD4B03" w:rsidP="00EC7126">
                    <w:pPr>
                      <w:pStyle w:val="BodyTextIndent"/>
                      <w:ind w:left="0"/>
                      <w:rPr>
                        <w:i w:val="0"/>
                        <w:sz w:val="16"/>
                        <w:szCs w:val="16"/>
                      </w:rPr>
                    </w:pPr>
                    <w:r>
                      <w:rPr>
                        <w:i w:val="0"/>
                        <w:sz w:val="16"/>
                      </w:rPr>
                      <w:t>Team Corporate Communications</w:t>
                    </w:r>
                  </w:p>
                  <w:p w14:paraId="7B4446C1" w14:textId="7C0626E0"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BD4B03" w:rsidRPr="00BD4B03">
                      <w:rPr>
                        <w:i w:val="0"/>
                        <w:sz w:val="16"/>
                      </w:rPr>
                      <w:t>+49 8638 9810-272</w:t>
                    </w:r>
                  </w:p>
                  <w:p w14:paraId="055B4411" w14:textId="652808EA" w:rsidR="00EC7126" w:rsidRPr="00073D11" w:rsidRDefault="0030036B" w:rsidP="00EC7126">
                    <w:pPr>
                      <w:pStyle w:val="Header"/>
                      <w:spacing w:line="360" w:lineRule="auto"/>
                    </w:pPr>
                    <w:hyperlink r:id="rId3" w:history="1">
                      <w:r w:rsidR="00BD4B03" w:rsidRPr="006F1A75">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0036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B04CD" w14:textId="77777777" w:rsidR="00C57F61" w:rsidRDefault="00C57F61" w:rsidP="00784C57">
      <w:pPr>
        <w:spacing w:after="0" w:line="240" w:lineRule="auto"/>
      </w:pPr>
      <w:r>
        <w:separator/>
      </w:r>
    </w:p>
  </w:footnote>
  <w:footnote w:type="continuationSeparator" w:id="0">
    <w:p w14:paraId="5055980A" w14:textId="77777777" w:rsidR="00C57F61" w:rsidRDefault="00C57F6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4089321" w14:textId="77777777" w:rsidR="009366B7" w:rsidRDefault="009366B7" w:rsidP="009366B7">
          <w:pPr>
            <w:spacing w:after="0" w:line="360" w:lineRule="auto"/>
            <w:ind w:left="-105"/>
            <w:jc w:val="both"/>
            <w:rPr>
              <w:rFonts w:ascii="Arial" w:hAnsi="Arial"/>
              <w:b/>
              <w:sz w:val="16"/>
              <w:szCs w:val="16"/>
            </w:rPr>
          </w:pPr>
          <w:r w:rsidRPr="009366B7">
            <w:rPr>
              <w:rFonts w:ascii="Arial" w:hAnsi="Arial"/>
              <w:b/>
              <w:sz w:val="16"/>
              <w:szCs w:val="16"/>
            </w:rPr>
            <w:t>Pharmaceutical packaging in top form with TPEs</w:t>
          </w:r>
        </w:p>
        <w:p w14:paraId="3801487B" w14:textId="01D3563B" w:rsidR="009366B7" w:rsidRPr="001E1888" w:rsidRDefault="009366B7" w:rsidP="009366B7">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0677C4">
            <w:rPr>
              <w:rFonts w:ascii="Arial" w:hAnsi="Arial"/>
              <w:b/>
              <w:sz w:val="16"/>
              <w:szCs w:val="16"/>
            </w:rPr>
            <w:t>July</w:t>
          </w:r>
          <w:r>
            <w:rPr>
              <w:rFonts w:ascii="Arial" w:hAnsi="Arial"/>
              <w:b/>
              <w:sz w:val="16"/>
              <w:szCs w:val="16"/>
            </w:rPr>
            <w:t xml:space="preserve"> 2020</w:t>
          </w:r>
        </w:p>
        <w:p w14:paraId="1A56E795" w14:textId="24467B50" w:rsidR="00502615" w:rsidRPr="00073D11" w:rsidRDefault="009366B7" w:rsidP="009366B7">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41E4F">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41E4F">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bookmarkEnd w:id="0"/>
        <w:p w14:paraId="29A9C71B" w14:textId="77777777" w:rsidR="009366B7" w:rsidRDefault="009366B7" w:rsidP="003C4170">
          <w:pPr>
            <w:spacing w:after="0" w:line="360" w:lineRule="auto"/>
            <w:ind w:left="-105"/>
            <w:jc w:val="both"/>
            <w:rPr>
              <w:rFonts w:ascii="Arial" w:hAnsi="Arial"/>
              <w:b/>
              <w:sz w:val="16"/>
              <w:szCs w:val="16"/>
            </w:rPr>
          </w:pPr>
          <w:r w:rsidRPr="009366B7">
            <w:rPr>
              <w:rFonts w:ascii="Arial" w:hAnsi="Arial"/>
              <w:b/>
              <w:sz w:val="16"/>
              <w:szCs w:val="16"/>
            </w:rPr>
            <w:t>Pharmaceutical packaging in top form with TPEs</w:t>
          </w:r>
        </w:p>
        <w:p w14:paraId="765F9503" w14:textId="7AF1E52F"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0677C4">
            <w:rPr>
              <w:rFonts w:ascii="Arial" w:hAnsi="Arial"/>
              <w:b/>
              <w:sz w:val="16"/>
              <w:szCs w:val="16"/>
            </w:rPr>
            <w:t xml:space="preserve"> July</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41E4F">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41E4F">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6F62"/>
    <w:rsid w:val="00041B77"/>
    <w:rsid w:val="0004695A"/>
    <w:rsid w:val="00055A30"/>
    <w:rsid w:val="00057785"/>
    <w:rsid w:val="00065A69"/>
    <w:rsid w:val="000677C4"/>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01CB5"/>
    <w:rsid w:val="00120B15"/>
    <w:rsid w:val="00121D30"/>
    <w:rsid w:val="00122C56"/>
    <w:rsid w:val="001246FA"/>
    <w:rsid w:val="00133856"/>
    <w:rsid w:val="00137F49"/>
    <w:rsid w:val="00144072"/>
    <w:rsid w:val="00146E7E"/>
    <w:rsid w:val="001507B4"/>
    <w:rsid w:val="00156BDE"/>
    <w:rsid w:val="00163E63"/>
    <w:rsid w:val="001658E6"/>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15BD"/>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036B"/>
    <w:rsid w:val="00304543"/>
    <w:rsid w:val="003112AE"/>
    <w:rsid w:val="00324D73"/>
    <w:rsid w:val="00325394"/>
    <w:rsid w:val="00325EA7"/>
    <w:rsid w:val="00326FA2"/>
    <w:rsid w:val="00364268"/>
    <w:rsid w:val="0036557B"/>
    <w:rsid w:val="0038768D"/>
    <w:rsid w:val="003955E2"/>
    <w:rsid w:val="00396F67"/>
    <w:rsid w:val="003A389E"/>
    <w:rsid w:val="003A4644"/>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74A"/>
    <w:rsid w:val="00482B9C"/>
    <w:rsid w:val="004919AE"/>
    <w:rsid w:val="00493BFC"/>
    <w:rsid w:val="004A3BE3"/>
    <w:rsid w:val="004A62E0"/>
    <w:rsid w:val="004A6454"/>
    <w:rsid w:val="004B0469"/>
    <w:rsid w:val="004B75FE"/>
    <w:rsid w:val="004C1164"/>
    <w:rsid w:val="004C3CCB"/>
    <w:rsid w:val="004C5B8C"/>
    <w:rsid w:val="004C6BE6"/>
    <w:rsid w:val="004C6E24"/>
    <w:rsid w:val="004D5BAF"/>
    <w:rsid w:val="004F6395"/>
    <w:rsid w:val="004F758B"/>
    <w:rsid w:val="00502615"/>
    <w:rsid w:val="0050294E"/>
    <w:rsid w:val="0050419E"/>
    <w:rsid w:val="00505735"/>
    <w:rsid w:val="005146C9"/>
    <w:rsid w:val="00515101"/>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A78F9"/>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572C9"/>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0C0"/>
    <w:rsid w:val="006C178C"/>
    <w:rsid w:val="006C3919"/>
    <w:rsid w:val="006C48AD"/>
    <w:rsid w:val="006C56CC"/>
    <w:rsid w:val="006D0902"/>
    <w:rsid w:val="006E449C"/>
    <w:rsid w:val="006E4B80"/>
    <w:rsid w:val="006E65CF"/>
    <w:rsid w:val="006F5DF8"/>
    <w:rsid w:val="00702A9F"/>
    <w:rsid w:val="007032E6"/>
    <w:rsid w:val="00710006"/>
    <w:rsid w:val="007144EB"/>
    <w:rsid w:val="0071575E"/>
    <w:rsid w:val="00721D5E"/>
    <w:rsid w:val="007228C7"/>
    <w:rsid w:val="00722F2A"/>
    <w:rsid w:val="00723A37"/>
    <w:rsid w:val="00726D03"/>
    <w:rsid w:val="00744F3B"/>
    <w:rsid w:val="00762555"/>
    <w:rsid w:val="0078239C"/>
    <w:rsid w:val="007831E2"/>
    <w:rsid w:val="0078424C"/>
    <w:rsid w:val="00784C57"/>
    <w:rsid w:val="00786798"/>
    <w:rsid w:val="007935B6"/>
    <w:rsid w:val="00793BF4"/>
    <w:rsid w:val="007974C7"/>
    <w:rsid w:val="0079778E"/>
    <w:rsid w:val="007A5BF6"/>
    <w:rsid w:val="007B1D9F"/>
    <w:rsid w:val="007B3E50"/>
    <w:rsid w:val="007B4C2D"/>
    <w:rsid w:val="007C4364"/>
    <w:rsid w:val="007D5A24"/>
    <w:rsid w:val="007D7444"/>
    <w:rsid w:val="007F1877"/>
    <w:rsid w:val="007F3DBF"/>
    <w:rsid w:val="00801E68"/>
    <w:rsid w:val="00823B61"/>
    <w:rsid w:val="0082753C"/>
    <w:rsid w:val="00835B9C"/>
    <w:rsid w:val="00841E4F"/>
    <w:rsid w:val="00847F93"/>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66B7"/>
    <w:rsid w:val="00937972"/>
    <w:rsid w:val="009416C1"/>
    <w:rsid w:val="00945459"/>
    <w:rsid w:val="00947D55"/>
    <w:rsid w:val="00964C40"/>
    <w:rsid w:val="00965ABF"/>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5FF0"/>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07312"/>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D4B03"/>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57F61"/>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086"/>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55CBA"/>
    <w:rsid w:val="00D619AD"/>
    <w:rsid w:val="00D625E9"/>
    <w:rsid w:val="00D7418C"/>
    <w:rsid w:val="00D80B90"/>
    <w:rsid w:val="00D81F17"/>
    <w:rsid w:val="00D821DB"/>
    <w:rsid w:val="00D8470D"/>
    <w:rsid w:val="00D87E3B"/>
    <w:rsid w:val="00D9749E"/>
    <w:rsid w:val="00DB2468"/>
    <w:rsid w:val="00DB6EAE"/>
    <w:rsid w:val="00DC10C6"/>
    <w:rsid w:val="00DC32CA"/>
    <w:rsid w:val="00DC6774"/>
    <w:rsid w:val="00DD623F"/>
    <w:rsid w:val="00DD6B70"/>
    <w:rsid w:val="00DD7AB2"/>
    <w:rsid w:val="00DE2E5C"/>
    <w:rsid w:val="00DE6719"/>
    <w:rsid w:val="00DF70A7"/>
    <w:rsid w:val="00DF7FD8"/>
    <w:rsid w:val="00E039D8"/>
    <w:rsid w:val="00E17CAC"/>
    <w:rsid w:val="00E31F55"/>
    <w:rsid w:val="00E34E27"/>
    <w:rsid w:val="00E52729"/>
    <w:rsid w:val="00E533F6"/>
    <w:rsid w:val="00E57256"/>
    <w:rsid w:val="00E61AA8"/>
    <w:rsid w:val="00E63371"/>
    <w:rsid w:val="00E72840"/>
    <w:rsid w:val="00E75CF3"/>
    <w:rsid w:val="00E812C0"/>
    <w:rsid w:val="00E86ECB"/>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13B4"/>
    <w:rsid w:val="00F44146"/>
    <w:rsid w:val="00F50B59"/>
    <w:rsid w:val="00F540D8"/>
    <w:rsid w:val="00F54D5B"/>
    <w:rsid w:val="00F56344"/>
    <w:rsid w:val="00F60F35"/>
    <w:rsid w:val="00F61CD9"/>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12C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paragraph" w:styleId="HTMLPreformatted">
    <w:name w:val="HTML Preformatted"/>
    <w:basedOn w:val="Normal"/>
    <w:link w:val="HTMLPreformattedChar"/>
    <w:uiPriority w:val="99"/>
    <w:unhideWhenUsed/>
    <w:rsid w:val="00FF1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bidi="ar-SA"/>
    </w:rPr>
  </w:style>
  <w:style w:type="character" w:customStyle="1" w:styleId="HTMLPreformattedChar">
    <w:name w:val="HTML Preformatted Char"/>
    <w:basedOn w:val="DefaultParagraphFont"/>
    <w:link w:val="HTMLPreformatted"/>
    <w:uiPriority w:val="99"/>
    <w:rsid w:val="00FF12C8"/>
    <w:rPr>
      <w:rFonts w:ascii="Courier New" w:eastAsia="Times New Roman" w:hAnsi="Courier New" w:cs="Courier New"/>
      <w:sz w:val="20"/>
      <w:szCs w:val="20"/>
      <w:lang w:val="de-DE" w:eastAsia="de-DE" w:bidi="ar-SA"/>
    </w:rPr>
  </w:style>
  <w:style w:type="character" w:styleId="UnresolvedMention">
    <w:name w:val="Unresolved Mention"/>
    <w:basedOn w:val="DefaultParagraphFont"/>
    <w:uiPriority w:val="99"/>
    <w:semiHidden/>
    <w:unhideWhenUsed/>
    <w:rsid w:val="00BD4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859781">
      <w:bodyDiv w:val="1"/>
      <w:marLeft w:val="0"/>
      <w:marRight w:val="0"/>
      <w:marTop w:val="0"/>
      <w:marBottom w:val="0"/>
      <w:divBdr>
        <w:top w:val="none" w:sz="0" w:space="0" w:color="auto"/>
        <w:left w:val="none" w:sz="0" w:space="0" w:color="auto"/>
        <w:bottom w:val="none" w:sz="0" w:space="0" w:color="auto"/>
        <w:right w:val="none" w:sz="0" w:space="0" w:color="auto"/>
      </w:divBdr>
      <w:divsChild>
        <w:div w:id="496042628">
          <w:marLeft w:val="0"/>
          <w:marRight w:val="0"/>
          <w:marTop w:val="0"/>
          <w:marBottom w:val="0"/>
          <w:divBdr>
            <w:top w:val="none" w:sz="0" w:space="0" w:color="auto"/>
            <w:left w:val="none" w:sz="0" w:space="0" w:color="auto"/>
            <w:bottom w:val="none" w:sz="0" w:space="0" w:color="auto"/>
            <w:right w:val="none" w:sz="0" w:space="0" w:color="auto"/>
          </w:divBdr>
          <w:divsChild>
            <w:div w:id="724179160">
              <w:marLeft w:val="0"/>
              <w:marRight w:val="0"/>
              <w:marTop w:val="0"/>
              <w:marBottom w:val="0"/>
              <w:divBdr>
                <w:top w:val="none" w:sz="0" w:space="0" w:color="auto"/>
                <w:left w:val="none" w:sz="0" w:space="0" w:color="auto"/>
                <w:bottom w:val="none" w:sz="0" w:space="0" w:color="auto"/>
                <w:right w:val="none" w:sz="0" w:space="0" w:color="auto"/>
              </w:divBdr>
              <w:divsChild>
                <w:div w:id="1896505729">
                  <w:marLeft w:val="0"/>
                  <w:marRight w:val="0"/>
                  <w:marTop w:val="0"/>
                  <w:marBottom w:val="0"/>
                  <w:divBdr>
                    <w:top w:val="none" w:sz="0" w:space="0" w:color="auto"/>
                    <w:left w:val="none" w:sz="0" w:space="0" w:color="auto"/>
                    <w:bottom w:val="none" w:sz="0" w:space="0" w:color="auto"/>
                    <w:right w:val="none" w:sz="0" w:space="0" w:color="auto"/>
                  </w:divBdr>
                  <w:divsChild>
                    <w:div w:id="15369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56349613">
      <w:bodyDiv w:val="1"/>
      <w:marLeft w:val="0"/>
      <w:marRight w:val="0"/>
      <w:marTop w:val="0"/>
      <w:marBottom w:val="0"/>
      <w:divBdr>
        <w:top w:val="none" w:sz="0" w:space="0" w:color="auto"/>
        <w:left w:val="none" w:sz="0" w:space="0" w:color="auto"/>
        <w:bottom w:val="none" w:sz="0" w:space="0" w:color="auto"/>
        <w:right w:val="none" w:sz="0" w:space="0" w:color="auto"/>
      </w:divBdr>
      <w:divsChild>
        <w:div w:id="595014350">
          <w:marLeft w:val="0"/>
          <w:marRight w:val="0"/>
          <w:marTop w:val="0"/>
          <w:marBottom w:val="0"/>
          <w:divBdr>
            <w:top w:val="none" w:sz="0" w:space="0" w:color="auto"/>
            <w:left w:val="none" w:sz="0" w:space="0" w:color="auto"/>
            <w:bottom w:val="none" w:sz="0" w:space="0" w:color="auto"/>
            <w:right w:val="none" w:sz="0" w:space="0" w:color="auto"/>
          </w:divBdr>
          <w:divsChild>
            <w:div w:id="254630973">
              <w:marLeft w:val="0"/>
              <w:marRight w:val="0"/>
              <w:marTop w:val="0"/>
              <w:marBottom w:val="0"/>
              <w:divBdr>
                <w:top w:val="none" w:sz="0" w:space="0" w:color="auto"/>
                <w:left w:val="none" w:sz="0" w:space="0" w:color="auto"/>
                <w:bottom w:val="none" w:sz="0" w:space="0" w:color="auto"/>
                <w:right w:val="none" w:sz="0" w:space="0" w:color="auto"/>
              </w:divBdr>
              <w:divsChild>
                <w:div w:id="813716082">
                  <w:marLeft w:val="0"/>
                  <w:marRight w:val="0"/>
                  <w:marTop w:val="0"/>
                  <w:marBottom w:val="0"/>
                  <w:divBdr>
                    <w:top w:val="none" w:sz="0" w:space="0" w:color="auto"/>
                    <w:left w:val="none" w:sz="0" w:space="0" w:color="auto"/>
                    <w:bottom w:val="none" w:sz="0" w:space="0" w:color="auto"/>
                    <w:right w:val="none" w:sz="0" w:space="0" w:color="auto"/>
                  </w:divBdr>
                  <w:divsChild>
                    <w:div w:id="11712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2800458">
      <w:bodyDiv w:val="1"/>
      <w:marLeft w:val="0"/>
      <w:marRight w:val="0"/>
      <w:marTop w:val="0"/>
      <w:marBottom w:val="0"/>
      <w:divBdr>
        <w:top w:val="none" w:sz="0" w:space="0" w:color="auto"/>
        <w:left w:val="none" w:sz="0" w:space="0" w:color="auto"/>
        <w:bottom w:val="none" w:sz="0" w:space="0" w:color="auto"/>
        <w:right w:val="none" w:sz="0" w:space="0" w:color="auto"/>
      </w:divBdr>
      <w:divsChild>
        <w:div w:id="922837964">
          <w:marLeft w:val="0"/>
          <w:marRight w:val="0"/>
          <w:marTop w:val="0"/>
          <w:marBottom w:val="0"/>
          <w:divBdr>
            <w:top w:val="none" w:sz="0" w:space="0" w:color="auto"/>
            <w:left w:val="none" w:sz="0" w:space="0" w:color="auto"/>
            <w:bottom w:val="none" w:sz="0" w:space="0" w:color="auto"/>
            <w:right w:val="none" w:sz="0" w:space="0" w:color="auto"/>
          </w:divBdr>
          <w:divsChild>
            <w:div w:id="824854681">
              <w:marLeft w:val="0"/>
              <w:marRight w:val="0"/>
              <w:marTop w:val="0"/>
              <w:marBottom w:val="0"/>
              <w:divBdr>
                <w:top w:val="none" w:sz="0" w:space="0" w:color="auto"/>
                <w:left w:val="none" w:sz="0" w:space="0" w:color="auto"/>
                <w:bottom w:val="none" w:sz="0" w:space="0" w:color="auto"/>
                <w:right w:val="none" w:sz="0" w:space="0" w:color="auto"/>
              </w:divBdr>
              <w:divsChild>
                <w:div w:id="1968392599">
                  <w:marLeft w:val="0"/>
                  <w:marRight w:val="0"/>
                  <w:marTop w:val="0"/>
                  <w:marBottom w:val="0"/>
                  <w:divBdr>
                    <w:top w:val="none" w:sz="0" w:space="0" w:color="auto"/>
                    <w:left w:val="none" w:sz="0" w:space="0" w:color="auto"/>
                    <w:bottom w:val="none" w:sz="0" w:space="0" w:color="auto"/>
                    <w:right w:val="none" w:sz="0" w:space="0" w:color="auto"/>
                  </w:divBdr>
                  <w:divsChild>
                    <w:div w:id="10371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193595">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6832730">
      <w:bodyDiv w:val="1"/>
      <w:marLeft w:val="0"/>
      <w:marRight w:val="0"/>
      <w:marTop w:val="0"/>
      <w:marBottom w:val="0"/>
      <w:divBdr>
        <w:top w:val="none" w:sz="0" w:space="0" w:color="auto"/>
        <w:left w:val="none" w:sz="0" w:space="0" w:color="auto"/>
        <w:bottom w:val="none" w:sz="0" w:space="0" w:color="auto"/>
        <w:right w:val="none" w:sz="0" w:space="0" w:color="auto"/>
      </w:divBdr>
      <w:divsChild>
        <w:div w:id="37095848">
          <w:marLeft w:val="0"/>
          <w:marRight w:val="0"/>
          <w:marTop w:val="0"/>
          <w:marBottom w:val="0"/>
          <w:divBdr>
            <w:top w:val="none" w:sz="0" w:space="0" w:color="auto"/>
            <w:left w:val="none" w:sz="0" w:space="0" w:color="auto"/>
            <w:bottom w:val="none" w:sz="0" w:space="0" w:color="auto"/>
            <w:right w:val="none" w:sz="0" w:space="0" w:color="auto"/>
          </w:divBdr>
          <w:divsChild>
            <w:div w:id="1195070753">
              <w:marLeft w:val="0"/>
              <w:marRight w:val="0"/>
              <w:marTop w:val="0"/>
              <w:marBottom w:val="0"/>
              <w:divBdr>
                <w:top w:val="none" w:sz="0" w:space="0" w:color="auto"/>
                <w:left w:val="none" w:sz="0" w:space="0" w:color="auto"/>
                <w:bottom w:val="none" w:sz="0" w:space="0" w:color="auto"/>
                <w:right w:val="none" w:sz="0" w:space="0" w:color="auto"/>
              </w:divBdr>
              <w:divsChild>
                <w:div w:id="156579015">
                  <w:marLeft w:val="0"/>
                  <w:marRight w:val="0"/>
                  <w:marTop w:val="0"/>
                  <w:marBottom w:val="0"/>
                  <w:divBdr>
                    <w:top w:val="none" w:sz="0" w:space="0" w:color="auto"/>
                    <w:left w:val="none" w:sz="0" w:space="0" w:color="auto"/>
                    <w:bottom w:val="none" w:sz="0" w:space="0" w:color="auto"/>
                    <w:right w:val="none" w:sz="0" w:space="0" w:color="auto"/>
                  </w:divBdr>
                  <w:divsChild>
                    <w:div w:id="40140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975CA-0EE4-4D0A-914F-13C5BBF5457C}">
  <ds:schemaRefs>
    <ds:schemaRef ds:uri="http://schemas.microsoft.com/office/2006/metadata/properties"/>
    <ds:schemaRef ds:uri="http://purl.org/dc/terms/"/>
    <ds:schemaRef ds:uri="http://purl.org/dc/dcmitype/"/>
    <ds:schemaRef ds:uri="http://schemas.microsoft.com/office/2006/documentManagement/types"/>
    <ds:schemaRef ds:uri="http://purl.org/dc/elements/1.1/"/>
    <ds:schemaRef ds:uri="b0aac98f-77e3-488e-b1d0-e526279ba76f"/>
    <ds:schemaRef ds:uri="http://schemas.microsoft.com/office/infopath/2007/PartnerControls"/>
    <ds:schemaRef ds:uri="http://schemas.openxmlformats.org/package/2006/metadata/core-properties"/>
    <ds:schemaRef ds:uri="8d3818be-6f21-4c29-ab13-78e30dc982d3"/>
    <ds:schemaRef ds:uri="http://www.w3.org/XML/1998/namespace"/>
  </ds:schemaRefs>
</ds:datastoreItem>
</file>

<file path=customXml/itemProps2.xml><?xml version="1.0" encoding="utf-8"?>
<ds:datastoreItem xmlns:ds="http://schemas.openxmlformats.org/officeDocument/2006/customXml" ds:itemID="{B289A0E4-1B1F-42F4-9E61-5C84F5155936}">
  <ds:schemaRefs>
    <ds:schemaRef ds:uri="http://schemas.openxmlformats.org/officeDocument/2006/bibliography"/>
  </ds:schemaRefs>
</ds:datastoreItem>
</file>

<file path=customXml/itemProps3.xml><?xml version="1.0" encoding="utf-8"?>
<ds:datastoreItem xmlns:ds="http://schemas.openxmlformats.org/officeDocument/2006/customXml" ds:itemID="{E948572A-1F8F-458B-B56D-9BC5B182D1CC}">
  <ds:schemaRefs>
    <ds:schemaRef ds:uri="http://schemas.microsoft.com/sharepoint/v3/contenttype/forms"/>
  </ds:schemaRefs>
</ds:datastoreItem>
</file>

<file path=customXml/itemProps4.xml><?xml version="1.0" encoding="utf-8"?>
<ds:datastoreItem xmlns:ds="http://schemas.openxmlformats.org/officeDocument/2006/customXml" ds:itemID="{06E597C4-AAF8-4268-8869-CC1C5F1F3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733</Words>
  <Characters>4184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2020-07-09T05:20:00Z</dcterms:created>
  <dcterms:modified xsi:type="dcterms:W3CDTF">2020-07-09T05:27:00Z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